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ED077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Confirm Loans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ED0776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BBUC_Op5 – Confirm Loans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ED0776" w:rsidP="00ED0776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This test will check with the Confirm Loans functionality and see if it does indeed do the process properly – that it sets itself as being COMPLETED, that the pending loans are registered into the </w:t>
            </w:r>
            <w:proofErr w:type="spellStart"/>
            <w:r>
              <w:rPr>
                <w:color w:val="0000FF"/>
                <w:sz w:val="24"/>
                <w:szCs w:val="24"/>
              </w:rPr>
              <w:t>loanDAO</w:t>
            </w:r>
            <w:proofErr w:type="spellEnd"/>
            <w:r>
              <w:rPr>
                <w:color w:val="0000FF"/>
                <w:sz w:val="24"/>
                <w:szCs w:val="24"/>
              </w:rPr>
              <w:t xml:space="preserve"> class and the respective objects set to recognize this change, and that the UI will return to the main menu.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D0776" w:rsidRPr="00D116E8" w:rsidRDefault="00ED0776" w:rsidP="00ED0776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color w:val="0000FF"/>
                <w:sz w:val="20"/>
              </w:rPr>
              <w:t>BorrowBookCTL</w:t>
            </w:r>
            <w:proofErr w:type="spellEnd"/>
            <w:r>
              <w:rPr>
                <w:rFonts w:ascii="Arial" w:hAnsi="Arial"/>
                <w:color w:val="0000FF"/>
                <w:sz w:val="20"/>
              </w:rPr>
              <w:t xml:space="preserve"> class must exist</w:t>
            </w:r>
          </w:p>
          <w:p w:rsidR="00ED0776" w:rsidRPr="00D116E8" w:rsidRDefault="00ED0776" w:rsidP="00ED0776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>Pending loan list must exist</w:t>
            </w:r>
          </w:p>
          <w:p w:rsidR="00E303EF" w:rsidRPr="00ED0776" w:rsidRDefault="00ED0776" w:rsidP="00ED0776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color w:val="0000FF"/>
                <w:sz w:val="20"/>
              </w:rPr>
              <w:t>BorrowBookCTL’s</w:t>
            </w:r>
            <w:proofErr w:type="spellEnd"/>
            <w:r>
              <w:rPr>
                <w:rFonts w:ascii="Arial" w:hAnsi="Arial"/>
                <w:color w:val="0000FF"/>
                <w:sz w:val="20"/>
              </w:rPr>
              <w:t xml:space="preserve"> state must be set to CONFIRMING_LOANS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D0776" w:rsidRPr="004114D9" w:rsidRDefault="00ED0776" w:rsidP="00ED0776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>The Main Menu is displayed</w:t>
            </w:r>
          </w:p>
          <w:p w:rsidR="00ED0776" w:rsidRPr="004114D9" w:rsidRDefault="00ED0776" w:rsidP="00ED0776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 xml:space="preserve">All pending loans are committed and recorded into the </w:t>
            </w:r>
            <w:proofErr w:type="spellStart"/>
            <w:r>
              <w:rPr>
                <w:rFonts w:ascii="Arial" w:hAnsi="Arial"/>
                <w:color w:val="0000FF"/>
                <w:sz w:val="20"/>
              </w:rPr>
              <w:t>loanDAO</w:t>
            </w:r>
            <w:proofErr w:type="spellEnd"/>
            <w:r>
              <w:rPr>
                <w:rFonts w:ascii="Arial" w:hAnsi="Arial"/>
                <w:color w:val="0000FF"/>
                <w:sz w:val="20"/>
              </w:rPr>
              <w:t xml:space="preserve"> database class</w:t>
            </w:r>
          </w:p>
          <w:p w:rsidR="00ED0776" w:rsidRPr="004114D9" w:rsidRDefault="00ED0776" w:rsidP="00ED0776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>Loan slip of committed loans is printed out from the printer</w:t>
            </w:r>
          </w:p>
          <w:p w:rsidR="00ED0776" w:rsidRPr="004114D9" w:rsidRDefault="00ED0776" w:rsidP="00ED0776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color w:val="0000FF"/>
                <w:sz w:val="20"/>
              </w:rPr>
              <w:t>cardReader</w:t>
            </w:r>
            <w:proofErr w:type="spellEnd"/>
            <w:r>
              <w:rPr>
                <w:rFonts w:ascii="Arial" w:hAnsi="Arial"/>
                <w:color w:val="0000FF"/>
                <w:sz w:val="20"/>
              </w:rPr>
              <w:t xml:space="preserve"> is disabled (we are not scanning any members immediately)</w:t>
            </w:r>
          </w:p>
          <w:p w:rsidR="00ED0776" w:rsidRPr="004114D9" w:rsidRDefault="00ED0776" w:rsidP="00ED0776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>scanner is disabled (we are finalizing loans – no need to scan more books)</w:t>
            </w:r>
          </w:p>
          <w:p w:rsidR="00E303EF" w:rsidRPr="00ED0776" w:rsidRDefault="00ED0776" w:rsidP="00ED0776">
            <w:pPr>
              <w:pStyle w:val="bp"/>
              <w:numPr>
                <w:ilvl w:val="0"/>
                <w:numId w:val="31"/>
              </w:numPr>
              <w:spacing w:before="0" w:after="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color w:val="0000FF"/>
                <w:sz w:val="20"/>
              </w:rPr>
              <w:t>BorrowBookCTL’s</w:t>
            </w:r>
            <w:proofErr w:type="spellEnd"/>
            <w:r>
              <w:rPr>
                <w:rFonts w:ascii="Arial" w:hAnsi="Arial"/>
                <w:color w:val="0000FF"/>
                <w:sz w:val="20"/>
              </w:rPr>
              <w:t xml:space="preserve"> state is changed to COMPLETED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ED0776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proofErr w:type="spellStart"/>
            <w:r>
              <w:rPr>
                <w:sz w:val="24"/>
              </w:rPr>
              <w:t>testConfirmLoans</w:t>
            </w:r>
            <w:proofErr w:type="spellEnd"/>
            <w:r>
              <w:rPr>
                <w:sz w:val="24"/>
              </w:rPr>
              <w:t>() – we test if the procedures and steps for confirming loans is done correctly</w:t>
            </w:r>
          </w:p>
        </w:tc>
        <w:tc>
          <w:tcPr>
            <w:tcW w:w="5596" w:type="dxa"/>
          </w:tcPr>
          <w:p w:rsidR="00DF1585" w:rsidRDefault="00ED07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loanDAO’s</w:t>
            </w:r>
            <w:proofErr w:type="spellEnd"/>
            <w:r>
              <w:rPr>
                <w:sz w:val="24"/>
              </w:rPr>
              <w:t xml:space="preserve"> search for loan by member is not empty</w:t>
            </w:r>
          </w:p>
        </w:tc>
        <w:tc>
          <w:tcPr>
            <w:tcW w:w="714" w:type="dxa"/>
          </w:tcPr>
          <w:p w:rsidR="00DF1585" w:rsidRDefault="00ED077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ED0776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testConfirmLoansEmptyList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 xml:space="preserve">) – we test if the </w:t>
            </w:r>
            <w:proofErr w:type="spellStart"/>
            <w:r>
              <w:rPr>
                <w:sz w:val="24"/>
              </w:rPr>
              <w:t>loanDAO</w:t>
            </w:r>
            <w:proofErr w:type="spellEnd"/>
            <w:r>
              <w:rPr>
                <w:sz w:val="24"/>
              </w:rPr>
              <w:t xml:space="preserve"> for a member who does not have any prior loans will have a loan if an empty loan list is put through the same confirm loans process.</w:t>
            </w:r>
          </w:p>
        </w:tc>
        <w:tc>
          <w:tcPr>
            <w:tcW w:w="5596" w:type="dxa"/>
          </w:tcPr>
          <w:p w:rsidR="00DF1585" w:rsidRDefault="00ED07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loanDAO’s</w:t>
            </w:r>
            <w:proofErr w:type="spellEnd"/>
            <w:r>
              <w:rPr>
                <w:sz w:val="24"/>
              </w:rPr>
              <w:t xml:space="preserve"> search for loan by member is empty</w:t>
            </w:r>
          </w:p>
        </w:tc>
        <w:tc>
          <w:tcPr>
            <w:tcW w:w="714" w:type="dxa"/>
          </w:tcPr>
          <w:p w:rsidR="00DF1585" w:rsidRDefault="00ED0776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ED0776" w:rsidP="00ED0776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testTransistionToMainMenu</w:t>
            </w:r>
            <w:proofErr w:type="spellEnd"/>
            <w:r>
              <w:rPr>
                <w:sz w:val="24"/>
              </w:rPr>
              <w:t>() – we test if it does set the state properly</w:t>
            </w:r>
          </w:p>
        </w:tc>
        <w:tc>
          <w:tcPr>
            <w:tcW w:w="5596" w:type="dxa"/>
          </w:tcPr>
          <w:p w:rsidR="00DF1585" w:rsidRDefault="00ED0776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State of CTL is set to COMPLETED</w:t>
            </w:r>
          </w:p>
        </w:tc>
        <w:tc>
          <w:tcPr>
            <w:tcW w:w="714" w:type="dxa"/>
          </w:tcPr>
          <w:p w:rsidR="00DF1585" w:rsidRDefault="00ED0776" w:rsidP="0093488F">
            <w:pPr>
              <w:pStyle w:val="RowHeadings"/>
              <w:spacing w:before="80" w:after="80"/>
              <w:jc w:val="center"/>
            </w:pPr>
            <w:r>
              <w:t>X</w:t>
            </w:r>
            <w:bookmarkStart w:id="0" w:name="_GoBack"/>
            <w:bookmarkEnd w:id="0"/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85A" w:rsidRDefault="002D385A">
      <w:r>
        <w:separator/>
      </w:r>
    </w:p>
  </w:endnote>
  <w:endnote w:type="continuationSeparator" w:id="0">
    <w:p w:rsidR="002D385A" w:rsidRDefault="002D3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0776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D0776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85A" w:rsidRDefault="002D385A">
      <w:r>
        <w:separator/>
      </w:r>
    </w:p>
  </w:footnote>
  <w:footnote w:type="continuationSeparator" w:id="0">
    <w:p w:rsidR="002D385A" w:rsidRDefault="002D3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EC50AF" w:rsidP="00B71A35">
          <w:r>
            <w:rPr>
              <w:b/>
            </w:rPr>
            <w:t>BBConfirmLoans.java</w:t>
          </w:r>
          <w:r w:rsidR="00A37650"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 w:rsidR="00A37650">
            <w:rPr>
              <w:b/>
            </w:rPr>
            <w:fldChar w:fldCharType="end"/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C50AF" w:rsidP="00B71A35">
          <w:r>
            <w:t>BBUC_Op5: Confirm Loans</w:t>
          </w:r>
        </w:p>
      </w:tc>
      <w:tc>
        <w:tcPr>
          <w:tcW w:w="3179" w:type="dxa"/>
        </w:tcPr>
        <w:p w:rsidR="00A37650" w:rsidRDefault="00EC50AF" w:rsidP="00B71A35">
          <w:r>
            <w:t xml:space="preserve">  Date:  18-10-2015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601D7"/>
    <w:multiLevelType w:val="hybridMultilevel"/>
    <w:tmpl w:val="6F708666"/>
    <w:lvl w:ilvl="0" w:tplc="ED0C99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4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385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D57AA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014A3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50AF"/>
    <w:rsid w:val="00ED0776"/>
    <w:rsid w:val="00ED1B99"/>
    <w:rsid w:val="00EE05CC"/>
    <w:rsid w:val="00EF0DE2"/>
    <w:rsid w:val="00EF2C19"/>
    <w:rsid w:val="00F01165"/>
    <w:rsid w:val="00F30EEB"/>
    <w:rsid w:val="00F45076"/>
    <w:rsid w:val="00F909B2"/>
    <w:rsid w:val="00FB20C1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8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Norbert Thien</cp:lastModifiedBy>
  <cp:revision>4</cp:revision>
  <cp:lastPrinted>2003-10-05T22:49:00Z</cp:lastPrinted>
  <dcterms:created xsi:type="dcterms:W3CDTF">2015-10-18T05:23:00Z</dcterms:created>
  <dcterms:modified xsi:type="dcterms:W3CDTF">2015-10-18T05:31:00Z</dcterms:modified>
</cp:coreProperties>
</file>