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pack — heuristics, ethics, and performance</w:t>
      </w:r>
    </w:p>
    <w:p>
      <w:r>
        <w:t>Summary for assessors. Full results: `Tests/usability/heuristic_review.md`, `Tests/performance/results.md`.</w:t>
      </w:r>
    </w:p>
    <w:p>
      <w:pPr>
        <w:pStyle w:val="Heading1"/>
      </w:pPr>
      <w:r>
        <w:t>1. Ethics</w:t>
      </w:r>
    </w:p>
    <w:p>
      <w:pPr>
        <w:pStyle w:val="ListBullet"/>
      </w:pPr>
      <w:r>
        <w:t>**Data:** simulated shipments and coordinates only; no real customer PII.</w:t>
      </w:r>
    </w:p>
    <w:p>
      <w:pPr>
        <w:pStyle w:val="ListBullet"/>
      </w:pPr>
      <w:r>
        <w:t>**Participants:** no field participants; internal heuristic walkthrough by the developer only (ethics form HE35).</w:t>
      </w:r>
    </w:p>
    <w:p>
      <w:pPr>
        <w:pStyle w:val="ListBullet"/>
      </w:pPr>
      <w:r>
        <w:t>**Security:** demo accounts and bearer token for prototypes; passwords in seed data are not production practice.</w:t>
      </w:r>
    </w:p>
    <w:p>
      <w:pPr>
        <w:pStyle w:val="ListBullet"/>
      </w:pPr>
      <w:r>
        <w:t>**AI:** any writing tools are declared on the dissertation cover page; technical claims were checked against running code.</w:t>
      </w:r>
    </w:p>
    <w:p>
      <w:pPr>
        <w:pStyle w:val="Heading1"/>
      </w:pPr>
      <w:r>
        <w:t>2. Nielsen heuristic review (1994)</w:t>
      </w:r>
    </w:p>
    <w:p>
      <w:r>
        <w:t>Method: one structured pass per application (office dashboard, client, driver) using severity 0–4. Date: 21 May 2026. Log: `Tests/usability/heuristic_review.md`.</w:t>
      </w:r>
    </w:p>
    <w:p>
      <w:r>
        <w:t>Outcome: no major or critical issues. Minor notes included long client order lists, visible prototype tokens, and GPS simulation banner visibility.</w:t>
      </w:r>
    </w:p>
    <w:p>
      <w:r>
        <w:t>Themes checked: visibility of status (H1), domain language (H2), user control (H3), cross-app consistency (H4), error handling (H5), recognition over recall (H6).</w:t>
      </w:r>
    </w:p>
    <w:p>
      <w:r>
        <w:t>System Usability Scale (SUS) was **not** used because ethics approval did not cover external participants.</w:t>
      </w:r>
    </w:p>
    <w:p>
      <w:pPr>
        <w:pStyle w:val="Heading1"/>
      </w:pPr>
      <w:r>
        <w:t>3. Performance (NFR)</w:t>
      </w:r>
    </w:p>
    <w:p>
      <w:pPr>
        <w:pStyle w:val="ListBullet"/>
      </w:pPr>
      <w:r>
        <w:t>**Target:** P95 API latency under 300 ms for `GET /dashboard/overview` (requirements).</w:t>
      </w:r>
    </w:p>
    <w:p>
      <w:pPr>
        <w:pStyle w:val="ListBullet"/>
      </w:pPr>
      <w:r>
        <w:t>**Method:** `Tests/performance/latency_check.py`, N = 100, local deployment, date 2026-05-20.</w:t>
      </w:r>
    </w:p>
    <w:p>
      <w:pPr>
        <w:pStyle w:val="ListBullet"/>
      </w:pPr>
      <w:r>
        <w:t>**Result:** P95 = 4.69 ms (see `results.md`). Header `X-Response-Time-Ms` on all API responses.</w:t>
      </w:r>
    </w:p>
    <w:p>
      <w:pPr>
        <w:pStyle w:val="ListBullet"/>
      </w:pPr>
      <w:r>
        <w:t>**Note:** localhost SQLite; not a production load test. Dashboard footer refresh time is an indicative client-side measure during demos.</w:t>
      </w:r>
    </w:p>
    <w:p>
      <w:pPr>
        <w:pStyle w:val="Heading1"/>
      </w:pPr>
      <w:r>
        <w:t>4. Evaluation conclusion (product)</w:t>
      </w:r>
    </w:p>
    <w:p>
      <w:r>
        <w:t>The prototype meets MVP functional requirements with simulated data. Usability inspection found only minor issues. API latency on local hardware is well within the stated threshold. Limitations: SQLite, polling (no WebSockets), prototype authentication, device-local driver route order, haversine routing (not road network).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