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2E9926" w14:textId="77777777" w:rsidR="00267CFD" w:rsidRDefault="00267CFD" w:rsidP="006F4526">
      <w:pPr>
        <w:jc w:val="center"/>
        <w:rPr>
          <w:b/>
          <w:sz w:val="32"/>
          <w:szCs w:val="32"/>
        </w:rPr>
      </w:pPr>
    </w:p>
    <w:p w14:paraId="645884FB" w14:textId="77777777" w:rsidR="00A01FC9" w:rsidRDefault="006F4526" w:rsidP="006F4526">
      <w:pPr>
        <w:jc w:val="center"/>
        <w:rPr>
          <w:b/>
          <w:sz w:val="32"/>
          <w:szCs w:val="32"/>
        </w:rPr>
      </w:pPr>
      <w:bookmarkStart w:id="0" w:name="_GoBack"/>
      <w:bookmarkEnd w:id="0"/>
      <w:r w:rsidRPr="006F4526">
        <w:rPr>
          <w:b/>
          <w:sz w:val="32"/>
          <w:szCs w:val="32"/>
        </w:rPr>
        <w:t>L’identità digitale europea e la sanità digitale</w:t>
      </w:r>
    </w:p>
    <w:p w14:paraId="32F27849" w14:textId="77777777" w:rsidR="006F4526" w:rsidRDefault="006F4526" w:rsidP="006F4526">
      <w:pPr>
        <w:jc w:val="center"/>
        <w:rPr>
          <w:b/>
          <w:sz w:val="32"/>
          <w:szCs w:val="32"/>
        </w:rPr>
      </w:pPr>
    </w:p>
    <w:p w14:paraId="1AFD5FF7" w14:textId="77777777" w:rsidR="006F4526" w:rsidRDefault="006F4526" w:rsidP="006F4526">
      <w:pPr>
        <w:jc w:val="both"/>
        <w:rPr>
          <w:b/>
          <w:sz w:val="28"/>
          <w:szCs w:val="28"/>
        </w:rPr>
      </w:pPr>
      <w:r>
        <w:rPr>
          <w:b/>
          <w:sz w:val="28"/>
          <w:szCs w:val="28"/>
        </w:rPr>
        <w:t>1. Introduzione</w:t>
      </w:r>
    </w:p>
    <w:p w14:paraId="0557393C" w14:textId="77777777" w:rsidR="006F4526" w:rsidRDefault="006F4526" w:rsidP="006F4526">
      <w:pPr>
        <w:spacing w:after="0" w:line="240" w:lineRule="auto"/>
        <w:jc w:val="both"/>
        <w:rPr>
          <w:sz w:val="24"/>
          <w:szCs w:val="24"/>
        </w:rPr>
      </w:pPr>
      <w:r w:rsidRPr="00684D92">
        <w:rPr>
          <w:sz w:val="24"/>
          <w:szCs w:val="24"/>
        </w:rPr>
        <w:t>Il Portafoglio Europeo di Identità Digitale è senza dubbio il protagonista assoluto del nuovo regolamento europeo del Parlamento e del Consiglio “</w:t>
      </w:r>
      <w:r w:rsidRPr="00F157A7">
        <w:rPr>
          <w:sz w:val="24"/>
          <w:szCs w:val="24"/>
        </w:rPr>
        <w:t>che modifica il regolamento (UE) n. 910/2014 per quanto riguarda l'istituzione del quadro europeo relativo a un’identità digitale</w:t>
      </w:r>
      <w:r w:rsidRPr="00684D92">
        <w:rPr>
          <w:sz w:val="24"/>
          <w:szCs w:val="24"/>
        </w:rPr>
        <w:t xml:space="preserve">” </w:t>
      </w:r>
      <w:r>
        <w:rPr>
          <w:sz w:val="24"/>
          <w:szCs w:val="24"/>
        </w:rPr>
        <w:t xml:space="preserve">entrato in vigore il 20 maggio 2024 come regolamento (UE) 2024/1183. </w:t>
      </w:r>
    </w:p>
    <w:p w14:paraId="7E3B769A" w14:textId="372445B8" w:rsidR="006F4526" w:rsidRDefault="006F4526" w:rsidP="006F4526">
      <w:pPr>
        <w:spacing w:after="0" w:line="240" w:lineRule="auto"/>
        <w:jc w:val="both"/>
        <w:rPr>
          <w:sz w:val="24"/>
          <w:szCs w:val="24"/>
        </w:rPr>
      </w:pPr>
      <w:r>
        <w:rPr>
          <w:sz w:val="24"/>
          <w:szCs w:val="24"/>
        </w:rPr>
        <w:t>Questo regolamento</w:t>
      </w:r>
      <w:r w:rsidR="00230DE2">
        <w:rPr>
          <w:sz w:val="24"/>
          <w:szCs w:val="24"/>
        </w:rPr>
        <w:t>, al quale ci si riferisce comunemente con l’acronimo eIDAS (</w:t>
      </w:r>
      <w:r w:rsidR="00230DE2" w:rsidRPr="00837E2F">
        <w:rPr>
          <w:i/>
          <w:sz w:val="24"/>
          <w:szCs w:val="24"/>
        </w:rPr>
        <w:t>electronic IDentificatione Authentication and trust Services</w:t>
      </w:r>
      <w:r w:rsidR="00230DE2">
        <w:rPr>
          <w:sz w:val="24"/>
          <w:szCs w:val="24"/>
        </w:rPr>
        <w:t>)</w:t>
      </w:r>
      <w:r>
        <w:rPr>
          <w:sz w:val="24"/>
          <w:szCs w:val="24"/>
        </w:rPr>
        <w:t xml:space="preserve"> introduce ulteriori e numerose novità </w:t>
      </w:r>
      <w:r w:rsidR="00230DE2">
        <w:rPr>
          <w:sz w:val="24"/>
          <w:szCs w:val="24"/>
        </w:rPr>
        <w:t xml:space="preserve">rispetto alla prima </w:t>
      </w:r>
      <w:r w:rsidR="00753645">
        <w:rPr>
          <w:sz w:val="24"/>
          <w:szCs w:val="24"/>
        </w:rPr>
        <w:t>versione, come</w:t>
      </w:r>
      <w:r w:rsidR="00230DE2">
        <w:rPr>
          <w:sz w:val="24"/>
          <w:szCs w:val="24"/>
        </w:rPr>
        <w:t xml:space="preserve"> descritto</w:t>
      </w:r>
      <w:r>
        <w:rPr>
          <w:sz w:val="24"/>
          <w:szCs w:val="24"/>
        </w:rPr>
        <w:t xml:space="preserve"> nel seguito</w:t>
      </w:r>
      <w:r w:rsidRPr="00684D92">
        <w:rPr>
          <w:sz w:val="24"/>
          <w:szCs w:val="24"/>
        </w:rPr>
        <w:t xml:space="preserve">. </w:t>
      </w:r>
    </w:p>
    <w:p w14:paraId="4A4200E8" w14:textId="16194F92" w:rsidR="006F4526" w:rsidRDefault="006F4526" w:rsidP="006F4526">
      <w:pPr>
        <w:spacing w:after="0" w:line="240" w:lineRule="auto"/>
        <w:jc w:val="both"/>
        <w:rPr>
          <w:sz w:val="24"/>
          <w:szCs w:val="24"/>
        </w:rPr>
      </w:pPr>
      <w:r w:rsidRPr="00684D92">
        <w:rPr>
          <w:sz w:val="24"/>
          <w:szCs w:val="24"/>
        </w:rPr>
        <w:t>Queste novità riguardano la presenza di nuo</w:t>
      </w:r>
      <w:r w:rsidR="00230DE2">
        <w:rPr>
          <w:sz w:val="24"/>
          <w:szCs w:val="24"/>
        </w:rPr>
        <w:t>vi servizi fiduciari</w:t>
      </w:r>
      <w:r w:rsidR="00C75379">
        <w:rPr>
          <w:sz w:val="24"/>
          <w:szCs w:val="24"/>
        </w:rPr>
        <w:t>,</w:t>
      </w:r>
      <w:r w:rsidR="00230DE2">
        <w:rPr>
          <w:sz w:val="24"/>
          <w:szCs w:val="24"/>
        </w:rPr>
        <w:t xml:space="preserve"> ma anche alcune modifiche</w:t>
      </w:r>
      <w:r>
        <w:rPr>
          <w:sz w:val="24"/>
          <w:szCs w:val="24"/>
        </w:rPr>
        <w:t xml:space="preserve"> </w:t>
      </w:r>
      <w:r w:rsidR="00716542">
        <w:rPr>
          <w:sz w:val="24"/>
          <w:szCs w:val="24"/>
        </w:rPr>
        <w:t xml:space="preserve">per </w:t>
      </w:r>
      <w:r>
        <w:rPr>
          <w:sz w:val="24"/>
          <w:szCs w:val="24"/>
        </w:rPr>
        <w:t xml:space="preserve"> quelli già presenti </w:t>
      </w:r>
      <w:r w:rsidRPr="00684D92">
        <w:rPr>
          <w:sz w:val="24"/>
          <w:szCs w:val="24"/>
        </w:rPr>
        <w:t>nella versione precedente del regolamento.</w:t>
      </w:r>
    </w:p>
    <w:p w14:paraId="6129B3FF" w14:textId="77777777" w:rsidR="006F4526" w:rsidRPr="00C75379" w:rsidRDefault="006F4526" w:rsidP="006F4526">
      <w:pPr>
        <w:spacing w:after="0" w:line="240" w:lineRule="auto"/>
        <w:jc w:val="both"/>
        <w:rPr>
          <w:i/>
          <w:iCs/>
          <w:sz w:val="24"/>
          <w:szCs w:val="24"/>
        </w:rPr>
      </w:pPr>
      <w:r>
        <w:rPr>
          <w:sz w:val="24"/>
          <w:szCs w:val="24"/>
        </w:rPr>
        <w:t>Si ricorda che i servizi fiduciari sono definiti nel regolamento come “</w:t>
      </w:r>
      <w:r w:rsidRPr="00C75379">
        <w:rPr>
          <w:i/>
          <w:iCs/>
          <w:sz w:val="24"/>
          <w:szCs w:val="24"/>
        </w:rPr>
        <w:t>un servizio elettronico prestato normalmente dietro remunerazione e consistente in uno qualsiasi degli elementi seguenti:</w:t>
      </w:r>
    </w:p>
    <w:p w14:paraId="17EB372C" w14:textId="77777777" w:rsidR="006F4526" w:rsidRDefault="006F4526" w:rsidP="006F4526">
      <w:pPr>
        <w:spacing w:after="0" w:line="240" w:lineRule="auto"/>
        <w:jc w:val="both"/>
        <w:rPr>
          <w:sz w:val="24"/>
          <w:szCs w:val="24"/>
        </w:rPr>
      </w:pPr>
    </w:p>
    <w:p w14:paraId="35B05E4A" w14:textId="77777777" w:rsidR="006F4526"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a) il rilascio di certificati di firma elettronica, certificati di sigilli elettronici, certificati di autenticazione di siti web o</w:t>
      </w:r>
      <w:r>
        <w:rPr>
          <w:rFonts w:cstheme="minorHAnsi"/>
          <w:i/>
          <w:sz w:val="24"/>
          <w:szCs w:val="24"/>
        </w:rPr>
        <w:t xml:space="preserve"> </w:t>
      </w:r>
      <w:r w:rsidRPr="0032469E">
        <w:rPr>
          <w:rFonts w:cstheme="minorHAnsi"/>
          <w:i/>
          <w:sz w:val="24"/>
          <w:szCs w:val="24"/>
        </w:rPr>
        <w:t>certificati di prestazione di altri servizi fiduciari;</w:t>
      </w:r>
    </w:p>
    <w:p w14:paraId="4A1E056A" w14:textId="77777777" w:rsidR="00837E2F" w:rsidRPr="0032469E" w:rsidRDefault="00837E2F" w:rsidP="006F4526">
      <w:pPr>
        <w:autoSpaceDE w:val="0"/>
        <w:autoSpaceDN w:val="0"/>
        <w:adjustRightInd w:val="0"/>
        <w:spacing w:after="0" w:line="240" w:lineRule="auto"/>
        <w:jc w:val="both"/>
        <w:rPr>
          <w:rFonts w:cstheme="minorHAnsi"/>
          <w:i/>
          <w:sz w:val="24"/>
          <w:szCs w:val="24"/>
        </w:rPr>
      </w:pPr>
    </w:p>
    <w:p w14:paraId="7CC286C0"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b) la convalida di certificati di firma elettronica, certificati di sigilli elettronici, certificati di autenticazione di siti web o</w:t>
      </w:r>
      <w:r>
        <w:rPr>
          <w:rFonts w:cstheme="minorHAnsi"/>
          <w:i/>
          <w:sz w:val="24"/>
          <w:szCs w:val="24"/>
        </w:rPr>
        <w:t xml:space="preserve"> </w:t>
      </w:r>
      <w:r w:rsidRPr="0032469E">
        <w:rPr>
          <w:rFonts w:cstheme="minorHAnsi"/>
          <w:i/>
          <w:sz w:val="24"/>
          <w:szCs w:val="24"/>
        </w:rPr>
        <w:t>certificati di prestazione di altri servizi fiduciari;</w:t>
      </w:r>
    </w:p>
    <w:p w14:paraId="4DB86C62" w14:textId="77777777" w:rsidR="00837E2F" w:rsidRDefault="00837E2F" w:rsidP="006F4526">
      <w:pPr>
        <w:autoSpaceDE w:val="0"/>
        <w:autoSpaceDN w:val="0"/>
        <w:adjustRightInd w:val="0"/>
        <w:spacing w:after="0" w:line="240" w:lineRule="auto"/>
        <w:jc w:val="both"/>
        <w:rPr>
          <w:rFonts w:cstheme="minorHAnsi"/>
          <w:i/>
          <w:sz w:val="24"/>
          <w:szCs w:val="24"/>
        </w:rPr>
      </w:pPr>
    </w:p>
    <w:p w14:paraId="3722D686"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c) la creazione di firme elettroniche o sigilli elettronici;</w:t>
      </w:r>
    </w:p>
    <w:p w14:paraId="4E8CB43C" w14:textId="77777777" w:rsidR="00837E2F" w:rsidRDefault="00837E2F" w:rsidP="006F4526">
      <w:pPr>
        <w:autoSpaceDE w:val="0"/>
        <w:autoSpaceDN w:val="0"/>
        <w:adjustRightInd w:val="0"/>
        <w:spacing w:after="0" w:line="240" w:lineRule="auto"/>
        <w:jc w:val="both"/>
        <w:rPr>
          <w:rFonts w:cstheme="minorHAnsi"/>
          <w:i/>
          <w:sz w:val="24"/>
          <w:szCs w:val="24"/>
        </w:rPr>
      </w:pPr>
    </w:p>
    <w:p w14:paraId="06EB4EAC"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d) la convalida di firme elettroniche o sigilli elettronici;</w:t>
      </w:r>
    </w:p>
    <w:p w14:paraId="0C35CD0B" w14:textId="77777777" w:rsidR="00837E2F" w:rsidRDefault="00837E2F" w:rsidP="006F4526">
      <w:pPr>
        <w:spacing w:after="0" w:line="240" w:lineRule="auto"/>
        <w:jc w:val="both"/>
        <w:rPr>
          <w:rFonts w:cstheme="minorHAnsi"/>
          <w:i/>
          <w:sz w:val="24"/>
          <w:szCs w:val="24"/>
        </w:rPr>
      </w:pPr>
    </w:p>
    <w:p w14:paraId="0707C716" w14:textId="77777777" w:rsidR="006F4526" w:rsidRPr="0032469E" w:rsidRDefault="006F4526" w:rsidP="006F4526">
      <w:pPr>
        <w:spacing w:after="0" w:line="240" w:lineRule="auto"/>
        <w:jc w:val="both"/>
        <w:rPr>
          <w:rFonts w:cstheme="minorHAnsi"/>
          <w:i/>
          <w:sz w:val="24"/>
          <w:szCs w:val="24"/>
        </w:rPr>
      </w:pPr>
      <w:r w:rsidRPr="0032469E">
        <w:rPr>
          <w:rFonts w:cstheme="minorHAnsi"/>
          <w:i/>
          <w:sz w:val="24"/>
          <w:szCs w:val="24"/>
        </w:rPr>
        <w:t>e) la conservazione di firme elettroniche, sigilli elettronici, certificati di firme elettroniche o certificati di sigilli elettronici;</w:t>
      </w:r>
    </w:p>
    <w:p w14:paraId="506D5149" w14:textId="77777777" w:rsidR="00837E2F" w:rsidRDefault="00837E2F" w:rsidP="006F4526">
      <w:pPr>
        <w:autoSpaceDE w:val="0"/>
        <w:autoSpaceDN w:val="0"/>
        <w:adjustRightInd w:val="0"/>
        <w:spacing w:after="0" w:line="240" w:lineRule="auto"/>
        <w:jc w:val="both"/>
        <w:rPr>
          <w:rFonts w:cstheme="minorHAnsi"/>
          <w:i/>
          <w:sz w:val="24"/>
          <w:szCs w:val="24"/>
        </w:rPr>
      </w:pPr>
    </w:p>
    <w:p w14:paraId="0CD44380"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f) la gestione di dispositivi per la creazione di una firma elettronica a distanza o di dispositivi per la creazione di un</w:t>
      </w:r>
      <w:r>
        <w:rPr>
          <w:rFonts w:cstheme="minorHAnsi"/>
          <w:i/>
          <w:sz w:val="24"/>
          <w:szCs w:val="24"/>
        </w:rPr>
        <w:t xml:space="preserve"> </w:t>
      </w:r>
      <w:r w:rsidRPr="0032469E">
        <w:rPr>
          <w:rFonts w:cstheme="minorHAnsi"/>
          <w:i/>
          <w:sz w:val="24"/>
          <w:szCs w:val="24"/>
        </w:rPr>
        <w:t>sigillo elettronico a distanza;</w:t>
      </w:r>
    </w:p>
    <w:p w14:paraId="462E4125" w14:textId="77777777" w:rsidR="00837E2F" w:rsidRDefault="00837E2F" w:rsidP="006F4526">
      <w:pPr>
        <w:autoSpaceDE w:val="0"/>
        <w:autoSpaceDN w:val="0"/>
        <w:adjustRightInd w:val="0"/>
        <w:spacing w:after="0" w:line="240" w:lineRule="auto"/>
        <w:jc w:val="both"/>
        <w:rPr>
          <w:rFonts w:cstheme="minorHAnsi"/>
          <w:i/>
          <w:sz w:val="24"/>
          <w:szCs w:val="24"/>
        </w:rPr>
      </w:pPr>
    </w:p>
    <w:p w14:paraId="7785F264"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g) il rilascio di attestati elettronici di attributi;</w:t>
      </w:r>
    </w:p>
    <w:p w14:paraId="68B0F13E" w14:textId="77777777" w:rsidR="00837E2F" w:rsidRDefault="00837E2F" w:rsidP="006F4526">
      <w:pPr>
        <w:autoSpaceDE w:val="0"/>
        <w:autoSpaceDN w:val="0"/>
        <w:adjustRightInd w:val="0"/>
        <w:spacing w:after="0" w:line="240" w:lineRule="auto"/>
        <w:jc w:val="both"/>
        <w:rPr>
          <w:rFonts w:cstheme="minorHAnsi"/>
          <w:i/>
          <w:sz w:val="24"/>
          <w:szCs w:val="24"/>
        </w:rPr>
      </w:pPr>
    </w:p>
    <w:p w14:paraId="6723CEBB"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h) la convalida di attestati elettronici di attributi;</w:t>
      </w:r>
    </w:p>
    <w:p w14:paraId="63BEDBC2" w14:textId="77777777" w:rsidR="00837E2F" w:rsidRDefault="00837E2F" w:rsidP="006F4526">
      <w:pPr>
        <w:autoSpaceDE w:val="0"/>
        <w:autoSpaceDN w:val="0"/>
        <w:adjustRightInd w:val="0"/>
        <w:spacing w:after="0" w:line="240" w:lineRule="auto"/>
        <w:jc w:val="both"/>
        <w:rPr>
          <w:rFonts w:cstheme="minorHAnsi"/>
          <w:i/>
          <w:sz w:val="24"/>
          <w:szCs w:val="24"/>
        </w:rPr>
      </w:pPr>
    </w:p>
    <w:p w14:paraId="2C019D09"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i) la creazione di validazioni temporali elettroniche;</w:t>
      </w:r>
    </w:p>
    <w:p w14:paraId="54F229E6" w14:textId="77777777" w:rsidR="00837E2F" w:rsidRDefault="00837E2F" w:rsidP="006F4526">
      <w:pPr>
        <w:autoSpaceDE w:val="0"/>
        <w:autoSpaceDN w:val="0"/>
        <w:adjustRightInd w:val="0"/>
        <w:spacing w:after="0" w:line="240" w:lineRule="auto"/>
        <w:jc w:val="both"/>
        <w:rPr>
          <w:rFonts w:cstheme="minorHAnsi"/>
          <w:i/>
          <w:sz w:val="24"/>
          <w:szCs w:val="24"/>
        </w:rPr>
      </w:pPr>
    </w:p>
    <w:p w14:paraId="693E4F45"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j) la convalida di validazioni temporali elettroniche;</w:t>
      </w:r>
    </w:p>
    <w:p w14:paraId="1673E76E" w14:textId="77777777" w:rsidR="00837E2F" w:rsidRDefault="00837E2F" w:rsidP="006F4526">
      <w:pPr>
        <w:autoSpaceDE w:val="0"/>
        <w:autoSpaceDN w:val="0"/>
        <w:adjustRightInd w:val="0"/>
        <w:spacing w:after="0" w:line="240" w:lineRule="auto"/>
        <w:jc w:val="both"/>
        <w:rPr>
          <w:rFonts w:cstheme="minorHAnsi"/>
          <w:i/>
          <w:sz w:val="24"/>
          <w:szCs w:val="24"/>
        </w:rPr>
      </w:pPr>
    </w:p>
    <w:p w14:paraId="778226DF"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k) la prestazione di servizi elettronici di recapito certificato;</w:t>
      </w:r>
    </w:p>
    <w:p w14:paraId="571A36E4" w14:textId="77777777" w:rsidR="00837E2F" w:rsidRDefault="00837E2F" w:rsidP="006F4526">
      <w:pPr>
        <w:autoSpaceDE w:val="0"/>
        <w:autoSpaceDN w:val="0"/>
        <w:adjustRightInd w:val="0"/>
        <w:spacing w:after="0" w:line="240" w:lineRule="auto"/>
        <w:jc w:val="both"/>
        <w:rPr>
          <w:rFonts w:cstheme="minorHAnsi"/>
          <w:i/>
          <w:sz w:val="24"/>
          <w:szCs w:val="24"/>
        </w:rPr>
      </w:pPr>
    </w:p>
    <w:p w14:paraId="23B8A8AA"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t>l) la convalida dei dati trasmessi tramite servizi elettronici di recapito certificato e relative prove;</w:t>
      </w:r>
    </w:p>
    <w:p w14:paraId="7E2B4172" w14:textId="77777777" w:rsidR="00837E2F" w:rsidRDefault="00837E2F" w:rsidP="006F4526">
      <w:pPr>
        <w:autoSpaceDE w:val="0"/>
        <w:autoSpaceDN w:val="0"/>
        <w:adjustRightInd w:val="0"/>
        <w:spacing w:after="0" w:line="240" w:lineRule="auto"/>
        <w:jc w:val="both"/>
        <w:rPr>
          <w:rFonts w:cstheme="minorHAnsi"/>
          <w:i/>
          <w:sz w:val="24"/>
          <w:szCs w:val="24"/>
        </w:rPr>
      </w:pPr>
    </w:p>
    <w:p w14:paraId="5C7A9B63" w14:textId="77777777" w:rsidR="006F4526" w:rsidRPr="0032469E" w:rsidRDefault="006F4526" w:rsidP="006F4526">
      <w:pPr>
        <w:autoSpaceDE w:val="0"/>
        <w:autoSpaceDN w:val="0"/>
        <w:adjustRightInd w:val="0"/>
        <w:spacing w:after="0" w:line="240" w:lineRule="auto"/>
        <w:jc w:val="both"/>
        <w:rPr>
          <w:rFonts w:cstheme="minorHAnsi"/>
          <w:i/>
          <w:sz w:val="24"/>
          <w:szCs w:val="24"/>
        </w:rPr>
      </w:pPr>
      <w:r w:rsidRPr="0032469E">
        <w:rPr>
          <w:rFonts w:cstheme="minorHAnsi"/>
          <w:i/>
          <w:sz w:val="24"/>
          <w:szCs w:val="24"/>
        </w:rPr>
        <w:lastRenderedPageBreak/>
        <w:t>m) l'archiviazione elettronica di dati elettronici e di documenti elettronici;</w:t>
      </w:r>
    </w:p>
    <w:p w14:paraId="66A8113C" w14:textId="77777777" w:rsidR="006F4526" w:rsidRDefault="006F4526" w:rsidP="006F4526">
      <w:pPr>
        <w:spacing w:after="0" w:line="240" w:lineRule="auto"/>
        <w:jc w:val="both"/>
        <w:rPr>
          <w:rFonts w:cstheme="minorHAnsi"/>
          <w:i/>
          <w:sz w:val="24"/>
          <w:szCs w:val="24"/>
        </w:rPr>
      </w:pPr>
      <w:r w:rsidRPr="0032469E">
        <w:rPr>
          <w:rFonts w:cstheme="minorHAnsi"/>
          <w:i/>
          <w:sz w:val="24"/>
          <w:szCs w:val="24"/>
        </w:rPr>
        <w:t>n) la registrazione di dati elettro</w:t>
      </w:r>
      <w:r>
        <w:rPr>
          <w:rFonts w:cstheme="minorHAnsi"/>
          <w:i/>
          <w:sz w:val="24"/>
          <w:szCs w:val="24"/>
        </w:rPr>
        <w:t>nici in un registro elettronico;”</w:t>
      </w:r>
    </w:p>
    <w:p w14:paraId="58AA16B1" w14:textId="77777777" w:rsidR="006F4526" w:rsidRPr="0032469E" w:rsidRDefault="006F4526" w:rsidP="006F4526">
      <w:pPr>
        <w:spacing w:after="0" w:line="240" w:lineRule="auto"/>
        <w:jc w:val="both"/>
        <w:rPr>
          <w:rFonts w:cstheme="minorHAnsi"/>
          <w:i/>
          <w:sz w:val="24"/>
          <w:szCs w:val="24"/>
        </w:rPr>
      </w:pPr>
    </w:p>
    <w:p w14:paraId="103573B9" w14:textId="77777777" w:rsidR="006F4526" w:rsidRDefault="006F4526" w:rsidP="006F4526">
      <w:pPr>
        <w:spacing w:after="0" w:line="240" w:lineRule="auto"/>
        <w:jc w:val="both"/>
        <w:rPr>
          <w:sz w:val="24"/>
          <w:szCs w:val="24"/>
        </w:rPr>
      </w:pPr>
      <w:r w:rsidRPr="00684D92">
        <w:rPr>
          <w:sz w:val="24"/>
          <w:szCs w:val="24"/>
        </w:rPr>
        <w:t>I nuovi servi</w:t>
      </w:r>
      <w:r>
        <w:rPr>
          <w:sz w:val="24"/>
          <w:szCs w:val="24"/>
        </w:rPr>
        <w:t>zi fiduciari (aggiunti con il testo del regolamento 2024/1183  al regolamento 910/2014 – nel seguito eIDAS) sono il rilascio di attestati elettronici di attributi</w:t>
      </w:r>
      <w:r w:rsidRPr="00684D92">
        <w:rPr>
          <w:sz w:val="24"/>
          <w:szCs w:val="24"/>
        </w:rPr>
        <w:t xml:space="preserve">, </w:t>
      </w:r>
      <w:r>
        <w:rPr>
          <w:sz w:val="24"/>
          <w:szCs w:val="24"/>
        </w:rPr>
        <w:t xml:space="preserve">la convalida di attestati elettronici di attributi, </w:t>
      </w:r>
      <w:r w:rsidRPr="00684D92">
        <w:rPr>
          <w:sz w:val="24"/>
          <w:szCs w:val="24"/>
        </w:rPr>
        <w:t xml:space="preserve">il </w:t>
      </w:r>
      <w:r>
        <w:rPr>
          <w:sz w:val="24"/>
          <w:szCs w:val="24"/>
        </w:rPr>
        <w:t>rilascio di certificati di autenticazione di siti</w:t>
      </w:r>
      <w:r w:rsidRPr="00684D92">
        <w:rPr>
          <w:sz w:val="24"/>
          <w:szCs w:val="24"/>
        </w:rPr>
        <w:t xml:space="preserve"> web</w:t>
      </w:r>
      <w:r>
        <w:rPr>
          <w:sz w:val="24"/>
          <w:szCs w:val="24"/>
        </w:rPr>
        <w:t xml:space="preserve"> e la loro convalida (sono due servizi fiduciari differenti)</w:t>
      </w:r>
      <w:r w:rsidRPr="00684D92">
        <w:rPr>
          <w:sz w:val="24"/>
          <w:szCs w:val="24"/>
        </w:rPr>
        <w:t xml:space="preserve">, la gestione di dispositivi qualificati per la creazione di una firma elettronica (o un sigillo elettronico) a distanza, </w:t>
      </w:r>
      <w:r>
        <w:rPr>
          <w:sz w:val="24"/>
          <w:szCs w:val="24"/>
        </w:rPr>
        <w:t xml:space="preserve">la convalida dei dati trasmessi tramite servizi elettronici di recapito certificato e relative prove, </w:t>
      </w:r>
      <w:r w:rsidRPr="00684D92">
        <w:rPr>
          <w:sz w:val="24"/>
          <w:szCs w:val="24"/>
        </w:rPr>
        <w:t xml:space="preserve">l’archiviazione elettronica </w:t>
      </w:r>
      <w:r>
        <w:rPr>
          <w:sz w:val="24"/>
          <w:szCs w:val="24"/>
        </w:rPr>
        <w:t>di dati elettronici e di documenti elettronici, la registrazione di dati elettronici in un registro elettronico</w:t>
      </w:r>
      <w:r w:rsidRPr="00684D92">
        <w:rPr>
          <w:sz w:val="24"/>
          <w:szCs w:val="24"/>
        </w:rPr>
        <w:t>.</w:t>
      </w:r>
    </w:p>
    <w:p w14:paraId="6DA53780" w14:textId="77777777" w:rsidR="00230DE2" w:rsidRPr="00684D92" w:rsidRDefault="00230DE2" w:rsidP="006F4526">
      <w:pPr>
        <w:spacing w:after="0" w:line="240" w:lineRule="auto"/>
        <w:jc w:val="both"/>
        <w:rPr>
          <w:sz w:val="24"/>
          <w:szCs w:val="24"/>
        </w:rPr>
      </w:pPr>
    </w:p>
    <w:p w14:paraId="764F2BA6" w14:textId="77777777" w:rsidR="006F4526" w:rsidRPr="00684D92" w:rsidRDefault="006F4526" w:rsidP="006F4526">
      <w:pPr>
        <w:spacing w:after="0" w:line="240" w:lineRule="auto"/>
        <w:jc w:val="both"/>
        <w:rPr>
          <w:sz w:val="24"/>
          <w:szCs w:val="24"/>
        </w:rPr>
      </w:pPr>
      <w:r w:rsidRPr="00684D92">
        <w:rPr>
          <w:sz w:val="24"/>
          <w:szCs w:val="24"/>
        </w:rPr>
        <w:t>Il servizio relativo a</w:t>
      </w:r>
      <w:r>
        <w:rPr>
          <w:sz w:val="24"/>
          <w:szCs w:val="24"/>
        </w:rPr>
        <w:t xml:space="preserve">i certificati di </w:t>
      </w:r>
      <w:r w:rsidRPr="00684D92">
        <w:rPr>
          <w:sz w:val="24"/>
          <w:szCs w:val="24"/>
        </w:rPr>
        <w:t>autenticazione d</w:t>
      </w:r>
      <w:r>
        <w:rPr>
          <w:sz w:val="24"/>
          <w:szCs w:val="24"/>
        </w:rPr>
        <w:t>ei siti</w:t>
      </w:r>
      <w:r w:rsidRPr="00684D92">
        <w:rPr>
          <w:sz w:val="24"/>
          <w:szCs w:val="24"/>
        </w:rPr>
        <w:t xml:space="preserve"> web era presente anche nella prima versione del regolamento ma è stato modificato per adeguarlo ai nuovi scenari di sicurezza cibernetica e aderente al modello di </w:t>
      </w:r>
      <w:r w:rsidRPr="00684D92">
        <w:rPr>
          <w:i/>
          <w:sz w:val="24"/>
          <w:szCs w:val="24"/>
        </w:rPr>
        <w:t xml:space="preserve">governance </w:t>
      </w:r>
      <w:r w:rsidRPr="00684D92">
        <w:rPr>
          <w:sz w:val="24"/>
          <w:szCs w:val="24"/>
        </w:rPr>
        <w:t>comunitario.</w:t>
      </w:r>
    </w:p>
    <w:p w14:paraId="564A6CC6" w14:textId="77777777" w:rsidR="006F4526" w:rsidRPr="00684D92" w:rsidRDefault="006F4526" w:rsidP="006F4526">
      <w:pPr>
        <w:spacing w:after="0" w:line="240" w:lineRule="auto"/>
        <w:jc w:val="both"/>
        <w:rPr>
          <w:sz w:val="24"/>
          <w:szCs w:val="24"/>
        </w:rPr>
      </w:pPr>
      <w:r w:rsidRPr="00684D92">
        <w:rPr>
          <w:sz w:val="24"/>
          <w:szCs w:val="24"/>
        </w:rPr>
        <w:t xml:space="preserve">I nuovi servizi fiduciari sono, in qualche modo, </w:t>
      </w:r>
      <w:r>
        <w:rPr>
          <w:sz w:val="24"/>
          <w:szCs w:val="24"/>
        </w:rPr>
        <w:t xml:space="preserve">naturale </w:t>
      </w:r>
      <w:r w:rsidRPr="00684D92">
        <w:rPr>
          <w:sz w:val="24"/>
          <w:szCs w:val="24"/>
        </w:rPr>
        <w:t>conseguenza dell’introduzione del Portafoglio Europeo, in quanto necessari per uno sviluppo omnicomprensivo dell’identità digitale.</w:t>
      </w:r>
    </w:p>
    <w:p w14:paraId="003BD04F" w14:textId="4E3C252B" w:rsidR="00230DE2" w:rsidRDefault="00691C15" w:rsidP="006F4526">
      <w:pPr>
        <w:jc w:val="both"/>
        <w:rPr>
          <w:sz w:val="24"/>
          <w:szCs w:val="24"/>
        </w:rPr>
      </w:pPr>
      <w:r>
        <w:rPr>
          <w:sz w:val="24"/>
          <w:szCs w:val="24"/>
        </w:rPr>
        <w:t xml:space="preserve">Gli impatti sulla sanità digitale di questo regolamento possono essere </w:t>
      </w:r>
      <w:r w:rsidR="00753645">
        <w:rPr>
          <w:sz w:val="24"/>
          <w:szCs w:val="24"/>
        </w:rPr>
        <w:t>significativi, se</w:t>
      </w:r>
      <w:r>
        <w:rPr>
          <w:sz w:val="24"/>
          <w:szCs w:val="24"/>
        </w:rPr>
        <w:t xml:space="preserve"> opportunamente utilizzati</w:t>
      </w:r>
      <w:r w:rsidR="00230DE2">
        <w:rPr>
          <w:sz w:val="24"/>
          <w:szCs w:val="24"/>
        </w:rPr>
        <w:t xml:space="preserve"> in un nuovo ed adeguato modello organizzativo</w:t>
      </w:r>
      <w:r>
        <w:rPr>
          <w:sz w:val="24"/>
          <w:szCs w:val="24"/>
        </w:rPr>
        <w:t xml:space="preserve">. </w:t>
      </w:r>
    </w:p>
    <w:p w14:paraId="11B31B27" w14:textId="19CE640D" w:rsidR="00691C15" w:rsidRDefault="00230DE2" w:rsidP="006F4526">
      <w:pPr>
        <w:jc w:val="both"/>
        <w:rPr>
          <w:sz w:val="24"/>
          <w:szCs w:val="24"/>
        </w:rPr>
      </w:pPr>
      <w:r>
        <w:rPr>
          <w:sz w:val="24"/>
          <w:szCs w:val="24"/>
        </w:rPr>
        <w:t xml:space="preserve">Poiché </w:t>
      </w:r>
      <w:r w:rsidR="00691C15">
        <w:rPr>
          <w:sz w:val="24"/>
          <w:szCs w:val="24"/>
        </w:rPr>
        <w:t xml:space="preserve">il Portafoglio Europeo di Identità Digitale </w:t>
      </w:r>
      <w:r>
        <w:rPr>
          <w:sz w:val="24"/>
          <w:szCs w:val="24"/>
        </w:rPr>
        <w:t xml:space="preserve">è </w:t>
      </w:r>
      <w:r w:rsidR="00691C15">
        <w:rPr>
          <w:sz w:val="24"/>
          <w:szCs w:val="24"/>
        </w:rPr>
        <w:t>il protagonista prin</w:t>
      </w:r>
      <w:r>
        <w:rPr>
          <w:sz w:val="24"/>
          <w:szCs w:val="24"/>
        </w:rPr>
        <w:t xml:space="preserve">cipale in questo nuovo </w:t>
      </w:r>
      <w:r w:rsidR="00753645">
        <w:rPr>
          <w:sz w:val="24"/>
          <w:szCs w:val="24"/>
        </w:rPr>
        <w:t>scenario, ne</w:t>
      </w:r>
      <w:r>
        <w:rPr>
          <w:sz w:val="24"/>
          <w:szCs w:val="24"/>
        </w:rPr>
        <w:t xml:space="preserve"> descriviamo le principali caratteristiche </w:t>
      </w:r>
      <w:r w:rsidR="00691C15">
        <w:rPr>
          <w:sz w:val="24"/>
          <w:szCs w:val="24"/>
        </w:rPr>
        <w:t>nel prossimo paragrafo.</w:t>
      </w:r>
    </w:p>
    <w:p w14:paraId="1F256058" w14:textId="77777777" w:rsidR="00691C15" w:rsidRDefault="00691C15" w:rsidP="006F4526">
      <w:pPr>
        <w:jc w:val="both"/>
        <w:rPr>
          <w:sz w:val="24"/>
          <w:szCs w:val="24"/>
        </w:rPr>
      </w:pPr>
    </w:p>
    <w:p w14:paraId="77EDC226" w14:textId="77777777" w:rsidR="006F4526" w:rsidRDefault="00691C15" w:rsidP="006F4526">
      <w:pPr>
        <w:jc w:val="both"/>
        <w:rPr>
          <w:b/>
          <w:sz w:val="28"/>
          <w:szCs w:val="28"/>
        </w:rPr>
      </w:pPr>
      <w:r w:rsidRPr="00B31E96">
        <w:rPr>
          <w:b/>
          <w:sz w:val="28"/>
          <w:szCs w:val="28"/>
        </w:rPr>
        <w:t xml:space="preserve">2.  </w:t>
      </w:r>
      <w:r w:rsidR="00B31E96" w:rsidRPr="00B31E96">
        <w:rPr>
          <w:b/>
          <w:sz w:val="28"/>
          <w:szCs w:val="28"/>
        </w:rPr>
        <w:t>Il Portafoglio Europeo di Identità Digitale</w:t>
      </w:r>
    </w:p>
    <w:p w14:paraId="773E2855" w14:textId="77777777" w:rsidR="00574783" w:rsidRDefault="00574783" w:rsidP="00574783">
      <w:pPr>
        <w:spacing w:after="0" w:line="240" w:lineRule="auto"/>
        <w:jc w:val="both"/>
        <w:rPr>
          <w:rFonts w:eastAsia="Times New Roman" w:cstheme="minorHAnsi"/>
          <w:iCs/>
          <w:sz w:val="24"/>
          <w:szCs w:val="24"/>
          <w:lang w:eastAsia="it-IT"/>
        </w:rPr>
      </w:pPr>
      <w:r>
        <w:rPr>
          <w:rFonts w:eastAsia="Times New Roman" w:cstheme="minorHAnsi"/>
          <w:iCs/>
          <w:sz w:val="24"/>
          <w:szCs w:val="24"/>
          <w:lang w:eastAsia="it-IT"/>
        </w:rPr>
        <w:t>Per iniziare a comprendere cos’è il Portafoglio è opportuno iniziare dalla definizione stabilita nel regolamento riportata di seguito:</w:t>
      </w:r>
    </w:p>
    <w:p w14:paraId="269E40E3" w14:textId="77777777" w:rsidR="00574783" w:rsidRPr="00DE0618" w:rsidRDefault="00574783" w:rsidP="00574783">
      <w:pPr>
        <w:spacing w:after="0" w:line="240" w:lineRule="auto"/>
        <w:jc w:val="both"/>
        <w:rPr>
          <w:rFonts w:eastAsia="Times New Roman" w:cstheme="minorHAnsi"/>
          <w:iCs/>
          <w:sz w:val="24"/>
          <w:szCs w:val="24"/>
          <w:lang w:eastAsia="it-IT"/>
        </w:rPr>
      </w:pPr>
    </w:p>
    <w:p w14:paraId="202C0F9F" w14:textId="77777777" w:rsidR="00574783" w:rsidRPr="00D91E89" w:rsidRDefault="00574783" w:rsidP="00574783">
      <w:pPr>
        <w:spacing w:after="0" w:line="240" w:lineRule="auto"/>
        <w:jc w:val="both"/>
        <w:rPr>
          <w:rStyle w:val="Enfasicorsivo"/>
          <w:rFonts w:eastAsia="Times New Roman" w:cstheme="minorHAnsi"/>
          <w:i w:val="0"/>
          <w:sz w:val="24"/>
          <w:szCs w:val="24"/>
          <w:lang w:eastAsia="it-IT"/>
        </w:rPr>
      </w:pPr>
      <w:r>
        <w:rPr>
          <w:rFonts w:eastAsia="Times New Roman" w:cstheme="minorHAnsi"/>
          <w:iCs/>
          <w:sz w:val="24"/>
          <w:szCs w:val="24"/>
          <w:lang w:eastAsia="it-IT"/>
        </w:rPr>
        <w:t>“</w:t>
      </w:r>
      <w:r w:rsidRPr="00C75379">
        <w:rPr>
          <w:rFonts w:eastAsia="Times New Roman" w:cstheme="minorHAnsi"/>
          <w:i/>
          <w:sz w:val="24"/>
          <w:szCs w:val="24"/>
          <w:lang w:eastAsia="it-IT"/>
        </w:rPr>
        <w:t>un mezzo di identificazione elettronica</w:t>
      </w:r>
      <w:r w:rsidRPr="0014449B">
        <w:rPr>
          <w:rFonts w:eastAsia="Times New Roman" w:cstheme="minorHAnsi"/>
          <w:iCs/>
          <w:sz w:val="24"/>
          <w:szCs w:val="24"/>
          <w:lang w:eastAsia="it-IT"/>
        </w:rPr>
        <w:t xml:space="preserve">, </w:t>
      </w:r>
      <w:r w:rsidRPr="0014449B">
        <w:rPr>
          <w:rStyle w:val="Enfasicorsivo"/>
          <w:rFonts w:cstheme="minorHAnsi"/>
          <w:sz w:val="24"/>
          <w:szCs w:val="24"/>
          <w:shd w:val="clear" w:color="auto" w:fill="FFFFFF"/>
        </w:rPr>
        <w:t>che c</w:t>
      </w:r>
      <w:r>
        <w:rPr>
          <w:rStyle w:val="Enfasicorsivo"/>
          <w:rFonts w:cstheme="minorHAnsi"/>
          <w:sz w:val="24"/>
          <w:szCs w:val="24"/>
          <w:shd w:val="clear" w:color="auto" w:fill="FFFFFF"/>
        </w:rPr>
        <w:t>onsente all’utente di conservare</w:t>
      </w:r>
      <w:r w:rsidRPr="0014449B">
        <w:rPr>
          <w:rStyle w:val="Enfasicorsivo"/>
          <w:rFonts w:cstheme="minorHAnsi"/>
          <w:sz w:val="24"/>
          <w:szCs w:val="24"/>
          <w:shd w:val="clear" w:color="auto" w:fill="FFFFFF"/>
        </w:rPr>
        <w:t>, gestire e convalidare i</w:t>
      </w:r>
      <w:r>
        <w:rPr>
          <w:rStyle w:val="Enfasicorsivo"/>
          <w:rFonts w:cstheme="minorHAnsi"/>
          <w:sz w:val="24"/>
          <w:szCs w:val="24"/>
          <w:shd w:val="clear" w:color="auto" w:fill="FFFFFF"/>
        </w:rPr>
        <w:t>n modo sicuro dati di identità personale e attestati elettronici d</w:t>
      </w:r>
      <w:r w:rsidRPr="0014449B">
        <w:rPr>
          <w:rStyle w:val="Enfasicorsivo"/>
          <w:rFonts w:cstheme="minorHAnsi"/>
          <w:sz w:val="24"/>
          <w:szCs w:val="24"/>
          <w:shd w:val="clear" w:color="auto" w:fill="FFFFFF"/>
        </w:rPr>
        <w:t>i attributi</w:t>
      </w:r>
      <w:r>
        <w:rPr>
          <w:rStyle w:val="Enfasicorsivo"/>
          <w:rFonts w:cstheme="minorHAnsi"/>
          <w:sz w:val="24"/>
          <w:szCs w:val="24"/>
          <w:shd w:val="clear" w:color="auto" w:fill="FFFFFF"/>
        </w:rPr>
        <w:t xml:space="preserve"> al fine di fornirli </w:t>
      </w:r>
      <w:r w:rsidRPr="0014449B">
        <w:rPr>
          <w:rStyle w:val="Enfasicorsivo"/>
          <w:rFonts w:cstheme="minorHAnsi"/>
          <w:sz w:val="24"/>
          <w:szCs w:val="24"/>
          <w:shd w:val="clear" w:color="auto" w:fill="FFFFFF"/>
        </w:rPr>
        <w:t xml:space="preserve">alle parti </w:t>
      </w:r>
      <w:r>
        <w:rPr>
          <w:rStyle w:val="Enfasicorsivo"/>
          <w:rFonts w:cstheme="minorHAnsi"/>
          <w:sz w:val="24"/>
          <w:szCs w:val="24"/>
          <w:shd w:val="clear" w:color="auto" w:fill="FFFFFF"/>
        </w:rPr>
        <w:t>facenti affidamento sulla certificazione e agli altri utenti dei p</w:t>
      </w:r>
      <w:r w:rsidRPr="0014449B">
        <w:rPr>
          <w:rStyle w:val="Enfasicorsivo"/>
          <w:rFonts w:cstheme="minorHAnsi"/>
          <w:sz w:val="24"/>
          <w:szCs w:val="24"/>
          <w:shd w:val="clear" w:color="auto" w:fill="FFFFFF"/>
        </w:rPr>
        <w:t xml:space="preserve">ortafogli </w:t>
      </w:r>
      <w:r>
        <w:rPr>
          <w:rStyle w:val="Enfasicorsivo"/>
          <w:rFonts w:cstheme="minorHAnsi"/>
          <w:sz w:val="24"/>
          <w:szCs w:val="24"/>
          <w:shd w:val="clear" w:color="auto" w:fill="FFFFFF"/>
        </w:rPr>
        <w:t>e</w:t>
      </w:r>
      <w:r w:rsidRPr="0014449B">
        <w:rPr>
          <w:rStyle w:val="Enfasicorsivo"/>
          <w:rFonts w:cstheme="minorHAnsi"/>
          <w:sz w:val="24"/>
          <w:szCs w:val="24"/>
          <w:shd w:val="clear" w:color="auto" w:fill="FFFFFF"/>
        </w:rPr>
        <w:t xml:space="preserve">uropei </w:t>
      </w:r>
      <w:r>
        <w:rPr>
          <w:rStyle w:val="Enfasicorsivo"/>
          <w:rFonts w:cstheme="minorHAnsi"/>
          <w:sz w:val="24"/>
          <w:szCs w:val="24"/>
          <w:shd w:val="clear" w:color="auto" w:fill="FFFFFF"/>
        </w:rPr>
        <w:t>di i</w:t>
      </w:r>
      <w:r w:rsidRPr="0014449B">
        <w:rPr>
          <w:rStyle w:val="Enfasicorsivo"/>
          <w:rFonts w:cstheme="minorHAnsi"/>
          <w:sz w:val="24"/>
          <w:szCs w:val="24"/>
          <w:shd w:val="clear" w:color="auto" w:fill="FFFFFF"/>
        </w:rPr>
        <w:t>dentità</w:t>
      </w:r>
      <w:r>
        <w:rPr>
          <w:rStyle w:val="Enfasicorsivo"/>
          <w:rFonts w:cstheme="minorHAnsi"/>
          <w:sz w:val="24"/>
          <w:szCs w:val="24"/>
          <w:shd w:val="clear" w:color="auto" w:fill="FFFFFF"/>
        </w:rPr>
        <w:t xml:space="preserve"> d</w:t>
      </w:r>
      <w:r w:rsidRPr="0014449B">
        <w:rPr>
          <w:rStyle w:val="Enfasicorsivo"/>
          <w:rFonts w:cstheme="minorHAnsi"/>
          <w:sz w:val="24"/>
          <w:szCs w:val="24"/>
          <w:shd w:val="clear" w:color="auto" w:fill="FFFFFF"/>
        </w:rPr>
        <w:t>igitale</w:t>
      </w:r>
      <w:r>
        <w:rPr>
          <w:rStyle w:val="Enfasicorsivo"/>
          <w:rFonts w:cstheme="minorHAnsi"/>
          <w:sz w:val="24"/>
          <w:szCs w:val="24"/>
          <w:shd w:val="clear" w:color="auto" w:fill="FFFFFF"/>
        </w:rPr>
        <w:t>, e di firmare mediante</w:t>
      </w:r>
      <w:r w:rsidRPr="0014449B">
        <w:rPr>
          <w:rStyle w:val="Enfasicorsivo"/>
          <w:rFonts w:cstheme="minorHAnsi"/>
          <w:sz w:val="24"/>
          <w:szCs w:val="24"/>
          <w:shd w:val="clear" w:color="auto" w:fill="FFFFFF"/>
        </w:rPr>
        <w:t xml:space="preserve"> firme elettro</w:t>
      </w:r>
      <w:r>
        <w:rPr>
          <w:rStyle w:val="Enfasicorsivo"/>
          <w:rFonts w:cstheme="minorHAnsi"/>
          <w:sz w:val="24"/>
          <w:szCs w:val="24"/>
          <w:shd w:val="clear" w:color="auto" w:fill="FFFFFF"/>
        </w:rPr>
        <w:t>niche qualificate o apporre sigilli mediante</w:t>
      </w:r>
      <w:r w:rsidRPr="0014449B">
        <w:rPr>
          <w:rStyle w:val="Enfasicorsivo"/>
          <w:rFonts w:cstheme="minorHAnsi"/>
          <w:sz w:val="24"/>
          <w:szCs w:val="24"/>
          <w:shd w:val="clear" w:color="auto" w:fill="FFFFFF"/>
        </w:rPr>
        <w:t xml:space="preserve"> sigilli elettronici qualificati”.</w:t>
      </w:r>
    </w:p>
    <w:p w14:paraId="5560015B" w14:textId="77777777" w:rsidR="00574783" w:rsidRDefault="00574783" w:rsidP="00574783">
      <w:pPr>
        <w:spacing w:after="0" w:line="240" w:lineRule="auto"/>
        <w:jc w:val="both"/>
        <w:rPr>
          <w:rStyle w:val="Enfasicorsivo"/>
          <w:rFonts w:cstheme="minorHAnsi"/>
          <w:i w:val="0"/>
          <w:sz w:val="24"/>
          <w:szCs w:val="24"/>
          <w:shd w:val="clear" w:color="auto" w:fill="FFFFFF"/>
        </w:rPr>
      </w:pPr>
    </w:p>
    <w:p w14:paraId="5F20DB8B" w14:textId="77777777" w:rsidR="00574783" w:rsidRPr="004256DA" w:rsidRDefault="00574783"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 xml:space="preserve">L’articolo 5 bis del </w:t>
      </w:r>
      <w:r w:rsidRPr="004256DA">
        <w:rPr>
          <w:rStyle w:val="Enfasicorsivo"/>
          <w:rFonts w:cstheme="minorHAnsi"/>
          <w:sz w:val="24"/>
          <w:szCs w:val="24"/>
          <w:shd w:val="clear" w:color="auto" w:fill="FFFFFF"/>
        </w:rPr>
        <w:t>regolamento stabilisce le regole operative per l’emissione del Portafoglio:</w:t>
      </w:r>
    </w:p>
    <w:p w14:paraId="0A935B63" w14:textId="77777777" w:rsidR="00574783" w:rsidRDefault="00574783" w:rsidP="00574783">
      <w:pPr>
        <w:spacing w:after="0" w:line="240" w:lineRule="auto"/>
        <w:jc w:val="both"/>
        <w:rPr>
          <w:rStyle w:val="Enfasicorsivo"/>
          <w:rFonts w:cstheme="minorHAnsi"/>
          <w:i w:val="0"/>
          <w:sz w:val="24"/>
          <w:szCs w:val="24"/>
          <w:shd w:val="clear" w:color="auto" w:fill="FFFFFF"/>
        </w:rPr>
      </w:pPr>
    </w:p>
    <w:p w14:paraId="52258A0E" w14:textId="77777777" w:rsidR="00574783" w:rsidRDefault="00574783" w:rsidP="00574783">
      <w:pPr>
        <w:spacing w:after="0" w:line="240" w:lineRule="auto"/>
        <w:jc w:val="both"/>
        <w:rPr>
          <w:rStyle w:val="Enfasicorsivo"/>
          <w:rFonts w:cstheme="minorHAnsi"/>
          <w:sz w:val="24"/>
          <w:szCs w:val="24"/>
          <w:shd w:val="clear" w:color="auto" w:fill="FFFFFF"/>
        </w:rPr>
      </w:pPr>
      <w:r>
        <w:rPr>
          <w:rStyle w:val="Enfasicorsivo"/>
          <w:rFonts w:cstheme="minorHAnsi"/>
          <w:sz w:val="24"/>
          <w:szCs w:val="24"/>
          <w:shd w:val="clear" w:color="auto" w:fill="FFFFFF"/>
        </w:rPr>
        <w:t>“1. Al fine di garantire che tutte le persone fisiche e giuridiche nell’Unione abbiano un accesso transfrontaliero sicuro, affidabile e senza soluzione di continuità a servizi pubblici e privati, mantenendo nel contempo il pieno controllo dei propri dati, ciascuno Stato membro fornisce almeno un portafoglio europeo di identità digitale entro 24 mesi dall’entrata in vigore degli atti di esecuzione di cui al paragrafo 23 del presente articolo e all’articolo 5 quater, paragrafo 6.</w:t>
      </w:r>
      <w:r w:rsidR="00C24853">
        <w:rPr>
          <w:rStyle w:val="Enfasicorsivo"/>
          <w:rFonts w:cstheme="minorHAnsi"/>
          <w:sz w:val="24"/>
          <w:szCs w:val="24"/>
          <w:shd w:val="clear" w:color="auto" w:fill="FFFFFF"/>
        </w:rPr>
        <w:t>”</w:t>
      </w:r>
    </w:p>
    <w:p w14:paraId="052E118F" w14:textId="77777777" w:rsidR="00C24853" w:rsidRDefault="00C24853" w:rsidP="00574783">
      <w:pPr>
        <w:spacing w:after="0" w:line="240" w:lineRule="auto"/>
        <w:jc w:val="both"/>
        <w:rPr>
          <w:rStyle w:val="Enfasicorsivo"/>
          <w:rFonts w:cstheme="minorHAnsi"/>
          <w:sz w:val="24"/>
          <w:szCs w:val="24"/>
          <w:shd w:val="clear" w:color="auto" w:fill="FFFFFF"/>
        </w:rPr>
      </w:pPr>
    </w:p>
    <w:p w14:paraId="53643F97" w14:textId="77777777" w:rsidR="00C24853" w:rsidRDefault="0062341B"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I citati</w:t>
      </w:r>
      <w:r w:rsidR="00C24853">
        <w:rPr>
          <w:rStyle w:val="Enfasicorsivo"/>
          <w:rFonts w:cstheme="minorHAnsi"/>
          <w:i w:val="0"/>
          <w:sz w:val="24"/>
          <w:szCs w:val="24"/>
          <w:shd w:val="clear" w:color="auto" w:fill="FFFFFF"/>
        </w:rPr>
        <w:t xml:space="preserve"> atti sono stati approvati il 21 novembre 2024.</w:t>
      </w:r>
    </w:p>
    <w:p w14:paraId="47E856E0" w14:textId="77777777" w:rsidR="00C24853" w:rsidRDefault="00C24853" w:rsidP="00574783">
      <w:pPr>
        <w:spacing w:after="0" w:line="240" w:lineRule="auto"/>
        <w:jc w:val="both"/>
        <w:rPr>
          <w:rStyle w:val="Enfasicorsivo"/>
          <w:rFonts w:cstheme="minorHAnsi"/>
          <w:i w:val="0"/>
          <w:sz w:val="24"/>
          <w:szCs w:val="24"/>
          <w:shd w:val="clear" w:color="auto" w:fill="FFFFFF"/>
        </w:rPr>
      </w:pPr>
    </w:p>
    <w:p w14:paraId="3759B31B" w14:textId="5DF64526" w:rsidR="008B606D" w:rsidRDefault="00753645"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In sintesi,</w:t>
      </w:r>
      <w:r w:rsidR="0062341B">
        <w:rPr>
          <w:rStyle w:val="Enfasicorsivo"/>
          <w:rFonts w:cstheme="minorHAnsi"/>
          <w:i w:val="0"/>
          <w:sz w:val="24"/>
          <w:szCs w:val="24"/>
          <w:shd w:val="clear" w:color="auto" w:fill="FFFFFF"/>
        </w:rPr>
        <w:t xml:space="preserve"> il regolamento europeo </w:t>
      </w:r>
      <w:r w:rsidR="00C24853">
        <w:rPr>
          <w:rStyle w:val="Enfasicorsivo"/>
          <w:rFonts w:cstheme="minorHAnsi"/>
          <w:i w:val="0"/>
          <w:sz w:val="24"/>
          <w:szCs w:val="24"/>
          <w:shd w:val="clear" w:color="auto" w:fill="FFFFFF"/>
        </w:rPr>
        <w:t>stabilisce norme per consentire al cittadino di disporre di una identità digitale unica a livello europeo</w:t>
      </w:r>
      <w:r w:rsidR="008B606D">
        <w:rPr>
          <w:rStyle w:val="Enfasicorsivo"/>
          <w:rFonts w:cstheme="minorHAnsi"/>
          <w:i w:val="0"/>
          <w:sz w:val="24"/>
          <w:szCs w:val="24"/>
          <w:shd w:val="clear" w:color="auto" w:fill="FFFFFF"/>
        </w:rPr>
        <w:t>, interoperabile e allo stato dell’arte sulla protezione dei dati personali e della cybersicurezza.</w:t>
      </w:r>
    </w:p>
    <w:p w14:paraId="0738E396" w14:textId="77777777" w:rsidR="008B606D" w:rsidRDefault="008B606D" w:rsidP="00574783">
      <w:pPr>
        <w:spacing w:after="0" w:line="240" w:lineRule="auto"/>
        <w:jc w:val="both"/>
        <w:rPr>
          <w:rStyle w:val="Enfasicorsivo"/>
          <w:rFonts w:cstheme="minorHAnsi"/>
          <w:i w:val="0"/>
          <w:sz w:val="24"/>
          <w:szCs w:val="24"/>
          <w:shd w:val="clear" w:color="auto" w:fill="FFFFFF"/>
        </w:rPr>
      </w:pPr>
    </w:p>
    <w:p w14:paraId="2C7F9DA0" w14:textId="77777777" w:rsidR="008B606D" w:rsidRDefault="008B606D"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Oltre a questo</w:t>
      </w:r>
      <w:r w:rsidR="0062341B">
        <w:rPr>
          <w:rStyle w:val="Enfasicorsivo"/>
          <w:rFonts w:cstheme="minorHAnsi"/>
          <w:i w:val="0"/>
          <w:sz w:val="24"/>
          <w:szCs w:val="24"/>
          <w:shd w:val="clear" w:color="auto" w:fill="FFFFFF"/>
        </w:rPr>
        <w:t>,</w:t>
      </w:r>
      <w:r>
        <w:rPr>
          <w:rStyle w:val="Enfasicorsivo"/>
          <w:rFonts w:cstheme="minorHAnsi"/>
          <w:i w:val="0"/>
          <w:sz w:val="24"/>
          <w:szCs w:val="24"/>
          <w:shd w:val="clear" w:color="auto" w:fill="FFFFFF"/>
        </w:rPr>
        <w:t xml:space="preserve"> la normativa comunitaria stabilisce che il Portafoglio deve consentire l’uso gratuito della firma digitale al titolare. Questo utilizzo può essere limitato</w:t>
      </w:r>
      <w:r w:rsidR="0062341B">
        <w:rPr>
          <w:rStyle w:val="Enfasicorsivo"/>
          <w:rFonts w:cstheme="minorHAnsi"/>
          <w:i w:val="0"/>
          <w:sz w:val="24"/>
          <w:szCs w:val="24"/>
          <w:shd w:val="clear" w:color="auto" w:fill="FFFFFF"/>
        </w:rPr>
        <w:t>, sulla base di norme nazionali,</w:t>
      </w:r>
      <w:r>
        <w:rPr>
          <w:rStyle w:val="Enfasicorsivo"/>
          <w:rFonts w:cstheme="minorHAnsi"/>
          <w:i w:val="0"/>
          <w:sz w:val="24"/>
          <w:szCs w:val="24"/>
          <w:shd w:val="clear" w:color="auto" w:fill="FFFFFF"/>
        </w:rPr>
        <w:t xml:space="preserve"> a scopi non professionali.</w:t>
      </w:r>
    </w:p>
    <w:p w14:paraId="36CEDC71" w14:textId="77777777" w:rsidR="008B606D" w:rsidRDefault="008B606D" w:rsidP="00574783">
      <w:pPr>
        <w:spacing w:after="0" w:line="240" w:lineRule="auto"/>
        <w:jc w:val="both"/>
        <w:rPr>
          <w:rStyle w:val="Enfasicorsivo"/>
          <w:rFonts w:cstheme="minorHAnsi"/>
          <w:i w:val="0"/>
          <w:sz w:val="24"/>
          <w:szCs w:val="24"/>
          <w:shd w:val="clear" w:color="auto" w:fill="FFFFFF"/>
        </w:rPr>
      </w:pPr>
    </w:p>
    <w:p w14:paraId="38EBA24F" w14:textId="77777777" w:rsidR="008B606D" w:rsidRDefault="008B606D"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 xml:space="preserve">Per concludere questa breve panoramica sul Portafoglio Europeo introduciamo l’altra </w:t>
      </w:r>
      <w:r w:rsidR="0062341B">
        <w:rPr>
          <w:rStyle w:val="Enfasicorsivo"/>
          <w:rFonts w:cstheme="minorHAnsi"/>
          <w:i w:val="0"/>
          <w:sz w:val="24"/>
          <w:szCs w:val="24"/>
          <w:shd w:val="clear" w:color="auto" w:fill="FFFFFF"/>
        </w:rPr>
        <w:t xml:space="preserve">cruciale </w:t>
      </w:r>
      <w:r>
        <w:rPr>
          <w:rStyle w:val="Enfasicorsivo"/>
          <w:rFonts w:cstheme="minorHAnsi"/>
          <w:i w:val="0"/>
          <w:sz w:val="24"/>
          <w:szCs w:val="24"/>
          <w:shd w:val="clear" w:color="auto" w:fill="FFFFFF"/>
        </w:rPr>
        <w:t>novità costituita dagli attestati elettronici di attribuiti.</w:t>
      </w:r>
    </w:p>
    <w:p w14:paraId="42BE8093" w14:textId="77777777" w:rsidR="008B606D" w:rsidRDefault="008B606D"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L’attestato consente l’autenticazione degli attributi che sono “</w:t>
      </w:r>
      <w:r w:rsidRPr="008B606D">
        <w:rPr>
          <w:rStyle w:val="Enfasicorsivo"/>
          <w:rFonts w:cstheme="minorHAnsi"/>
          <w:sz w:val="24"/>
          <w:szCs w:val="24"/>
          <w:shd w:val="clear" w:color="auto" w:fill="FFFFFF"/>
        </w:rPr>
        <w:t>la caratteristica, la qualità, il diritto o l’autorizzazione di una persona fisica o giuridica o di un oggetto</w:t>
      </w:r>
      <w:r>
        <w:rPr>
          <w:rStyle w:val="Enfasicorsivo"/>
          <w:rFonts w:cstheme="minorHAnsi"/>
          <w:i w:val="0"/>
          <w:sz w:val="24"/>
          <w:szCs w:val="24"/>
          <w:shd w:val="clear" w:color="auto" w:fill="FFFFFF"/>
        </w:rPr>
        <w:t xml:space="preserve">”.  </w:t>
      </w:r>
      <w:r w:rsidR="00C24853">
        <w:rPr>
          <w:rStyle w:val="Enfasicorsivo"/>
          <w:rFonts w:cstheme="minorHAnsi"/>
          <w:i w:val="0"/>
          <w:sz w:val="24"/>
          <w:szCs w:val="24"/>
          <w:shd w:val="clear" w:color="auto" w:fill="FFFFFF"/>
        </w:rPr>
        <w:t xml:space="preserve"> </w:t>
      </w:r>
    </w:p>
    <w:p w14:paraId="21575302" w14:textId="48DBDD8C" w:rsidR="00C24853" w:rsidRDefault="008B606D"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 xml:space="preserve">L’attributo diventa elemento di arricchimento dell’identità digitale che può essere utilizzata insieme ad essi. Il regolamento stabilisce l’elenco minimo di attributi: </w:t>
      </w:r>
      <w:r w:rsidR="00753645">
        <w:rPr>
          <w:rStyle w:val="Enfasicorsivo"/>
          <w:rFonts w:cstheme="minorHAnsi"/>
          <w:i w:val="0"/>
          <w:sz w:val="24"/>
          <w:szCs w:val="24"/>
          <w:shd w:val="clear" w:color="auto" w:fill="FFFFFF"/>
        </w:rPr>
        <w:t>“indirizzo</w:t>
      </w:r>
      <w:r w:rsidRPr="00477595">
        <w:rPr>
          <w:rStyle w:val="Enfasicorsivo"/>
          <w:rFonts w:cstheme="minorHAnsi"/>
          <w:sz w:val="24"/>
          <w:szCs w:val="24"/>
          <w:shd w:val="clear" w:color="auto" w:fill="FFFFFF"/>
        </w:rPr>
        <w:t>, età, genere, stato civile, composizione del nucleo familiare, n</w:t>
      </w:r>
      <w:r w:rsidR="00477595" w:rsidRPr="00477595">
        <w:rPr>
          <w:rStyle w:val="Enfasicorsivo"/>
          <w:rFonts w:cstheme="minorHAnsi"/>
          <w:sz w:val="24"/>
          <w:szCs w:val="24"/>
          <w:shd w:val="clear" w:color="auto" w:fill="FFFFFF"/>
        </w:rPr>
        <w:t>azionalità o cittadin</w:t>
      </w:r>
      <w:r w:rsidRPr="00477595">
        <w:rPr>
          <w:rStyle w:val="Enfasicorsivo"/>
          <w:rFonts w:cstheme="minorHAnsi"/>
          <w:sz w:val="24"/>
          <w:szCs w:val="24"/>
          <w:shd w:val="clear" w:color="auto" w:fill="FFFFFF"/>
        </w:rPr>
        <w:t>anza</w:t>
      </w:r>
      <w:r w:rsidR="00477595" w:rsidRPr="00477595">
        <w:rPr>
          <w:rStyle w:val="Enfasicorsivo"/>
          <w:rFonts w:cstheme="minorHAnsi"/>
          <w:sz w:val="24"/>
          <w:szCs w:val="24"/>
          <w:shd w:val="clear" w:color="auto" w:fill="FFFFFF"/>
        </w:rPr>
        <w:t>, titoli e licenze di studio, qualifiche e licenze professionali, poteri e mandati di rappresentanza di persone fisiche o giuridiche, permessi e licenze pubblici, per le persone giuridiche, i dati societari e finanziari</w:t>
      </w:r>
      <w:r w:rsidR="00477595">
        <w:rPr>
          <w:rStyle w:val="Enfasicorsivo"/>
          <w:rFonts w:cstheme="minorHAnsi"/>
          <w:i w:val="0"/>
          <w:sz w:val="24"/>
          <w:szCs w:val="24"/>
          <w:shd w:val="clear" w:color="auto" w:fill="FFFFFF"/>
        </w:rPr>
        <w:t>”.</w:t>
      </w:r>
    </w:p>
    <w:p w14:paraId="2E1831C5" w14:textId="77777777" w:rsidR="00366909" w:rsidRDefault="00366909" w:rsidP="00574783">
      <w:pPr>
        <w:spacing w:after="0" w:line="240" w:lineRule="auto"/>
        <w:jc w:val="both"/>
        <w:rPr>
          <w:rStyle w:val="Enfasicorsivo"/>
          <w:rFonts w:cstheme="minorHAnsi"/>
          <w:i w:val="0"/>
          <w:sz w:val="24"/>
          <w:szCs w:val="24"/>
          <w:shd w:val="clear" w:color="auto" w:fill="FFFFFF"/>
        </w:rPr>
      </w:pPr>
    </w:p>
    <w:p w14:paraId="713A1553" w14:textId="77777777" w:rsidR="00366909" w:rsidRDefault="00366909"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Il regolamento eIDAS introduce anche la definizione di “fonte autentica” per gli attributi. Questa è “</w:t>
      </w:r>
      <w:r w:rsidRPr="00366909">
        <w:rPr>
          <w:rStyle w:val="Enfasicorsivo"/>
          <w:rFonts w:cstheme="minorHAnsi"/>
          <w:sz w:val="24"/>
          <w:szCs w:val="24"/>
          <w:shd w:val="clear" w:color="auto" w:fill="FFFFFF"/>
        </w:rPr>
        <w:t>un archivio o un sistema, tenuto sotto la responsabilità di un organismo del settore pubblico o di un soggetto privato, che contiene e fornisce gli attributi relativi a una persona fisica o giuridica o a un oggetto e che è considerato una fonte primaria di tali informazioni o la cui autenticità è riconosciuta conformemente al diritto dell’Unione o nazionale, inclusa la prassi amministrativa</w:t>
      </w:r>
      <w:r>
        <w:rPr>
          <w:rStyle w:val="Enfasicorsivo"/>
          <w:rFonts w:cstheme="minorHAnsi"/>
          <w:i w:val="0"/>
          <w:sz w:val="24"/>
          <w:szCs w:val="24"/>
          <w:shd w:val="clear" w:color="auto" w:fill="FFFFFF"/>
        </w:rPr>
        <w:t>”.</w:t>
      </w:r>
    </w:p>
    <w:p w14:paraId="5C510B49" w14:textId="77777777" w:rsidR="00477595" w:rsidRDefault="00477595" w:rsidP="00574783">
      <w:pPr>
        <w:spacing w:after="0" w:line="240" w:lineRule="auto"/>
        <w:jc w:val="both"/>
        <w:rPr>
          <w:rStyle w:val="Enfasicorsivo"/>
          <w:rFonts w:cstheme="minorHAnsi"/>
          <w:i w:val="0"/>
          <w:sz w:val="24"/>
          <w:szCs w:val="24"/>
          <w:shd w:val="clear" w:color="auto" w:fill="FFFFFF"/>
        </w:rPr>
      </w:pPr>
    </w:p>
    <w:p w14:paraId="2C2ACC5B" w14:textId="77777777" w:rsidR="00477595" w:rsidRDefault="00477595" w:rsidP="00574783">
      <w:pPr>
        <w:spacing w:after="0" w:line="240" w:lineRule="auto"/>
        <w:jc w:val="both"/>
        <w:rPr>
          <w:rStyle w:val="Enfasicorsivo"/>
          <w:rFonts w:cstheme="minorHAnsi"/>
          <w:i w:val="0"/>
          <w:sz w:val="24"/>
          <w:szCs w:val="24"/>
          <w:shd w:val="clear" w:color="auto" w:fill="FFFFFF"/>
        </w:rPr>
      </w:pPr>
      <w:r>
        <w:rPr>
          <w:rStyle w:val="Enfasicorsivo"/>
          <w:rFonts w:cstheme="minorHAnsi"/>
          <w:i w:val="0"/>
          <w:sz w:val="24"/>
          <w:szCs w:val="24"/>
          <w:shd w:val="clear" w:color="auto" w:fill="FFFFFF"/>
        </w:rPr>
        <w:t>Nella Sanità Digitale l’accoppiata identità digitale</w:t>
      </w:r>
      <w:r w:rsidR="0062341B">
        <w:rPr>
          <w:rStyle w:val="Enfasicorsivo"/>
          <w:rFonts w:cstheme="minorHAnsi"/>
          <w:i w:val="0"/>
          <w:sz w:val="24"/>
          <w:szCs w:val="24"/>
          <w:shd w:val="clear" w:color="auto" w:fill="FFFFFF"/>
        </w:rPr>
        <w:t xml:space="preserve"> e </w:t>
      </w:r>
      <w:r>
        <w:rPr>
          <w:rStyle w:val="Enfasicorsivo"/>
          <w:rFonts w:cstheme="minorHAnsi"/>
          <w:i w:val="0"/>
          <w:sz w:val="24"/>
          <w:szCs w:val="24"/>
          <w:shd w:val="clear" w:color="auto" w:fill="FFFFFF"/>
        </w:rPr>
        <w:t>attestati elettronici di attributi può essere di elevatissimo beneficio.</w:t>
      </w:r>
    </w:p>
    <w:p w14:paraId="00EE9AED" w14:textId="77777777" w:rsidR="00477595" w:rsidRDefault="00477595" w:rsidP="00574783">
      <w:pPr>
        <w:spacing w:after="0" w:line="240" w:lineRule="auto"/>
        <w:jc w:val="both"/>
        <w:rPr>
          <w:rStyle w:val="Enfasicorsivo"/>
          <w:rFonts w:cstheme="minorHAnsi"/>
          <w:i w:val="0"/>
          <w:sz w:val="24"/>
          <w:szCs w:val="24"/>
          <w:shd w:val="clear" w:color="auto" w:fill="FFFFFF"/>
        </w:rPr>
      </w:pPr>
    </w:p>
    <w:p w14:paraId="5CBA1DBC" w14:textId="77777777" w:rsidR="00477595" w:rsidRDefault="00477595" w:rsidP="00574783">
      <w:pPr>
        <w:spacing w:after="0" w:line="240" w:lineRule="auto"/>
        <w:jc w:val="both"/>
        <w:rPr>
          <w:rStyle w:val="Enfasicorsivo"/>
          <w:rFonts w:cstheme="minorHAnsi"/>
          <w:i w:val="0"/>
          <w:sz w:val="24"/>
          <w:szCs w:val="24"/>
          <w:shd w:val="clear" w:color="auto" w:fill="FFFFFF"/>
        </w:rPr>
      </w:pPr>
    </w:p>
    <w:p w14:paraId="6B139282" w14:textId="77777777" w:rsidR="00477595" w:rsidRPr="00F40F34" w:rsidRDefault="00477595" w:rsidP="00574783">
      <w:pPr>
        <w:spacing w:after="0" w:line="240" w:lineRule="auto"/>
        <w:jc w:val="both"/>
        <w:rPr>
          <w:rStyle w:val="Enfasicorsivo"/>
          <w:rFonts w:cstheme="minorHAnsi"/>
          <w:b/>
          <w:i w:val="0"/>
          <w:sz w:val="28"/>
          <w:szCs w:val="28"/>
          <w:shd w:val="clear" w:color="auto" w:fill="FFFFFF"/>
        </w:rPr>
      </w:pPr>
      <w:r w:rsidRPr="00F40F34">
        <w:rPr>
          <w:rStyle w:val="Enfasicorsivo"/>
          <w:rFonts w:cstheme="minorHAnsi"/>
          <w:b/>
          <w:i w:val="0"/>
          <w:sz w:val="28"/>
          <w:szCs w:val="28"/>
          <w:shd w:val="clear" w:color="auto" w:fill="FFFFFF"/>
        </w:rPr>
        <w:t>3. Le potenzialità del Portafoglio Europeo nella Sanità Digitale</w:t>
      </w:r>
    </w:p>
    <w:p w14:paraId="68E86907" w14:textId="77777777" w:rsidR="00366909" w:rsidRDefault="00366909" w:rsidP="00574783">
      <w:pPr>
        <w:spacing w:after="0" w:line="240" w:lineRule="auto"/>
        <w:jc w:val="both"/>
        <w:rPr>
          <w:rStyle w:val="Enfasicorsivo"/>
          <w:rFonts w:cstheme="minorHAnsi"/>
          <w:i w:val="0"/>
          <w:sz w:val="28"/>
          <w:szCs w:val="28"/>
          <w:shd w:val="clear" w:color="auto" w:fill="FFFFFF"/>
        </w:rPr>
      </w:pPr>
    </w:p>
    <w:p w14:paraId="37122FA6" w14:textId="35CF1455" w:rsidR="00366909" w:rsidRDefault="00366909" w:rsidP="00366909">
      <w:pPr>
        <w:pStyle w:val="Puntoelenco"/>
        <w:numPr>
          <w:ilvl w:val="0"/>
          <w:numId w:val="0"/>
        </w:numPr>
        <w:spacing w:after="0" w:line="240" w:lineRule="auto"/>
        <w:jc w:val="both"/>
        <w:rPr>
          <w:rFonts w:cstheme="minorHAnsi"/>
          <w:sz w:val="24"/>
          <w:szCs w:val="24"/>
        </w:rPr>
      </w:pPr>
      <w:r w:rsidRPr="00FE1975">
        <w:rPr>
          <w:rFonts w:cstheme="minorHAnsi"/>
          <w:sz w:val="24"/>
          <w:szCs w:val="24"/>
        </w:rPr>
        <w:t xml:space="preserve">Per i soggetti pubblici (denominati nel nuovo regolamento organismi del settore pubblico), specialmente se fonti autentiche, si evince che l’attestazione elettronica di attribuiti </w:t>
      </w:r>
      <w:r w:rsidR="00F40F34">
        <w:rPr>
          <w:rFonts w:cstheme="minorHAnsi"/>
          <w:sz w:val="24"/>
          <w:szCs w:val="24"/>
        </w:rPr>
        <w:t xml:space="preserve">è utilissima. Naturalmente la sua messa in opera </w:t>
      </w:r>
      <w:r w:rsidRPr="00FE1975">
        <w:rPr>
          <w:rFonts w:cstheme="minorHAnsi"/>
          <w:sz w:val="24"/>
          <w:szCs w:val="24"/>
        </w:rPr>
        <w:t>è complessa e richiede sforzi operativi per la conformità alla normativa e p</w:t>
      </w:r>
      <w:r w:rsidR="00F40F34">
        <w:rPr>
          <w:rFonts w:cstheme="minorHAnsi"/>
          <w:sz w:val="24"/>
          <w:szCs w:val="24"/>
        </w:rPr>
        <w:t xml:space="preserve">er il mantenimento della </w:t>
      </w:r>
      <w:r w:rsidR="0062341B">
        <w:rPr>
          <w:rFonts w:cstheme="minorHAnsi"/>
          <w:sz w:val="24"/>
          <w:szCs w:val="24"/>
        </w:rPr>
        <w:t xml:space="preserve">conformità </w:t>
      </w:r>
      <w:r w:rsidR="00F40F34">
        <w:rPr>
          <w:rFonts w:cstheme="minorHAnsi"/>
          <w:sz w:val="24"/>
          <w:szCs w:val="24"/>
        </w:rPr>
        <w:t xml:space="preserve">stessa, basti pensare al fatto che </w:t>
      </w:r>
      <w:proofErr w:type="spellStart"/>
      <w:r w:rsidR="00F157A7">
        <w:rPr>
          <w:rFonts w:cstheme="minorHAnsi"/>
          <w:sz w:val="24"/>
          <w:szCs w:val="24"/>
        </w:rPr>
        <w:t>il</w:t>
      </w:r>
      <w:r w:rsidRPr="00FE1975">
        <w:rPr>
          <w:rFonts w:cstheme="minorHAnsi"/>
          <w:sz w:val="24"/>
          <w:szCs w:val="24"/>
        </w:rPr>
        <w:t>settore</w:t>
      </w:r>
      <w:proofErr w:type="spellEnd"/>
      <w:r w:rsidRPr="00FE1975">
        <w:rPr>
          <w:rFonts w:cstheme="minorHAnsi"/>
          <w:sz w:val="24"/>
          <w:szCs w:val="24"/>
        </w:rPr>
        <w:t xml:space="preserve"> pubblico dovrà avere </w:t>
      </w:r>
      <w:r w:rsidR="0062341B">
        <w:rPr>
          <w:rFonts w:cstheme="minorHAnsi"/>
          <w:sz w:val="24"/>
          <w:szCs w:val="24"/>
        </w:rPr>
        <w:t xml:space="preserve">elevate </w:t>
      </w:r>
      <w:r w:rsidRPr="00FE1975">
        <w:rPr>
          <w:rFonts w:cstheme="minorHAnsi"/>
          <w:sz w:val="24"/>
          <w:szCs w:val="24"/>
        </w:rPr>
        <w:t>caratteristiche di qu</w:t>
      </w:r>
      <w:r w:rsidR="0062341B">
        <w:rPr>
          <w:rFonts w:cstheme="minorHAnsi"/>
          <w:sz w:val="24"/>
          <w:szCs w:val="24"/>
        </w:rPr>
        <w:t>alità e sicurezza che saranno stabilite dalla Commissione europea con appositi provvedimenti esecutivi (Atti di esecuzione)</w:t>
      </w:r>
      <w:r w:rsidRPr="00FE1975">
        <w:rPr>
          <w:rFonts w:cstheme="minorHAnsi"/>
          <w:sz w:val="24"/>
          <w:szCs w:val="24"/>
        </w:rPr>
        <w:t>.</w:t>
      </w:r>
    </w:p>
    <w:p w14:paraId="4FBAC1AE" w14:textId="77777777" w:rsidR="0062341B" w:rsidRPr="00FE1975" w:rsidRDefault="0062341B" w:rsidP="00366909">
      <w:pPr>
        <w:pStyle w:val="Puntoelenco"/>
        <w:numPr>
          <w:ilvl w:val="0"/>
          <w:numId w:val="0"/>
        </w:numPr>
        <w:spacing w:after="0" w:line="240" w:lineRule="auto"/>
        <w:jc w:val="both"/>
        <w:rPr>
          <w:rFonts w:cstheme="minorHAnsi"/>
          <w:sz w:val="24"/>
          <w:szCs w:val="24"/>
        </w:rPr>
      </w:pPr>
    </w:p>
    <w:p w14:paraId="4AA509E6" w14:textId="77777777" w:rsidR="00366909" w:rsidRDefault="00366909" w:rsidP="00366909">
      <w:pPr>
        <w:pStyle w:val="Puntoelenco"/>
        <w:numPr>
          <w:ilvl w:val="0"/>
          <w:numId w:val="0"/>
        </w:numPr>
        <w:spacing w:after="0" w:line="240" w:lineRule="auto"/>
        <w:jc w:val="both"/>
        <w:rPr>
          <w:rFonts w:cstheme="minorHAnsi"/>
          <w:sz w:val="24"/>
          <w:szCs w:val="24"/>
        </w:rPr>
      </w:pPr>
      <w:r w:rsidRPr="00FE1975">
        <w:rPr>
          <w:rFonts w:cstheme="minorHAnsi"/>
          <w:sz w:val="24"/>
          <w:szCs w:val="24"/>
        </w:rPr>
        <w:t>Il Portafoglio Europeo di Identità Digitale, elemento centrale di t</w:t>
      </w:r>
      <w:r w:rsidR="0062341B">
        <w:rPr>
          <w:rFonts w:cstheme="minorHAnsi"/>
          <w:sz w:val="24"/>
          <w:szCs w:val="24"/>
        </w:rPr>
        <w:t>utto il sistema, interagisce</w:t>
      </w:r>
      <w:r w:rsidRPr="00FE1975">
        <w:rPr>
          <w:rFonts w:cstheme="minorHAnsi"/>
          <w:sz w:val="24"/>
          <w:szCs w:val="24"/>
        </w:rPr>
        <w:t xml:space="preserve"> in modo efficace con le fonti autentiche e tutte le altri sorgenti di attributi per poter disporre di attestati di attributi affidabili, vista la loro importanza per il funzionamento del sistema dell’identità digitale europea unica e sicura.</w:t>
      </w:r>
    </w:p>
    <w:p w14:paraId="3879A6A7" w14:textId="77777777" w:rsidR="00F40F34" w:rsidRDefault="00366909" w:rsidP="00366909">
      <w:pPr>
        <w:pStyle w:val="Puntoelenco"/>
        <w:numPr>
          <w:ilvl w:val="0"/>
          <w:numId w:val="0"/>
        </w:numPr>
        <w:spacing w:after="0" w:line="240" w:lineRule="auto"/>
        <w:jc w:val="both"/>
        <w:rPr>
          <w:rFonts w:cstheme="minorHAnsi"/>
          <w:sz w:val="24"/>
          <w:szCs w:val="24"/>
        </w:rPr>
      </w:pPr>
      <w:r>
        <w:rPr>
          <w:rFonts w:cstheme="minorHAnsi"/>
          <w:sz w:val="24"/>
          <w:szCs w:val="24"/>
        </w:rPr>
        <w:t xml:space="preserve">Nell’ambito della sanità digitale è evidente che l’identità associata al Portafoglio Europeo di Identità Digitale è un dirompente punto di riferimento. </w:t>
      </w:r>
    </w:p>
    <w:p w14:paraId="2DFB364D" w14:textId="77777777" w:rsidR="00366909" w:rsidRDefault="00366909" w:rsidP="00366909">
      <w:pPr>
        <w:pStyle w:val="Puntoelenco"/>
        <w:numPr>
          <w:ilvl w:val="0"/>
          <w:numId w:val="0"/>
        </w:numPr>
        <w:spacing w:after="0" w:line="240" w:lineRule="auto"/>
        <w:jc w:val="both"/>
        <w:rPr>
          <w:rFonts w:cstheme="minorHAnsi"/>
          <w:sz w:val="24"/>
          <w:szCs w:val="24"/>
        </w:rPr>
      </w:pPr>
      <w:r>
        <w:rPr>
          <w:rFonts w:cstheme="minorHAnsi"/>
          <w:sz w:val="24"/>
          <w:szCs w:val="24"/>
        </w:rPr>
        <w:t xml:space="preserve">L’utilizzo degli attestati elettronici di attributi insieme al Portafoglio consente di migliorare le interazioni tra l’assistito e l’operatore sanitario. La possibilità di utilizzare i dati in modo “mirato” sotto il totale controllo dell’utente e in modo </w:t>
      </w:r>
      <w:r w:rsidRPr="00253C8F">
        <w:rPr>
          <w:rFonts w:cstheme="minorHAnsi"/>
          <w:i/>
          <w:sz w:val="24"/>
          <w:szCs w:val="24"/>
        </w:rPr>
        <w:t>by design</w:t>
      </w:r>
      <w:r>
        <w:rPr>
          <w:rFonts w:cstheme="minorHAnsi"/>
          <w:sz w:val="24"/>
          <w:szCs w:val="24"/>
        </w:rPr>
        <w:t xml:space="preserve"> (in base alla progettazione) e </w:t>
      </w:r>
      <w:r w:rsidRPr="00253C8F">
        <w:rPr>
          <w:rFonts w:cstheme="minorHAnsi"/>
          <w:i/>
          <w:sz w:val="24"/>
          <w:szCs w:val="24"/>
        </w:rPr>
        <w:t>by default</w:t>
      </w:r>
      <w:r>
        <w:rPr>
          <w:rFonts w:cstheme="minorHAnsi"/>
          <w:sz w:val="24"/>
          <w:szCs w:val="24"/>
        </w:rPr>
        <w:t xml:space="preserve"> (per impostazione predefinita) in materia di protezione dei dati personali consente utilizzi completamente innovativi. </w:t>
      </w:r>
      <w:r w:rsidR="0062341B">
        <w:rPr>
          <w:rFonts w:cstheme="minorHAnsi"/>
          <w:sz w:val="24"/>
          <w:szCs w:val="24"/>
        </w:rPr>
        <w:t>Un esempio può essere la possibilità di scambiare dati elettronici tra portafogli in modo autenticato e riservato.</w:t>
      </w:r>
    </w:p>
    <w:p w14:paraId="195EF574" w14:textId="4D8B5115" w:rsidR="00F40F34" w:rsidRDefault="00F40F34" w:rsidP="00366909">
      <w:pPr>
        <w:shd w:val="clear" w:color="auto" w:fill="FFFFFF"/>
        <w:spacing w:after="0" w:line="240" w:lineRule="auto"/>
        <w:jc w:val="both"/>
        <w:rPr>
          <w:rFonts w:eastAsia="Times New Roman" w:cstheme="minorHAnsi"/>
          <w:color w:val="222222"/>
          <w:sz w:val="24"/>
          <w:szCs w:val="24"/>
          <w:lang w:eastAsia="it-IT"/>
        </w:rPr>
      </w:pPr>
      <w:r>
        <w:rPr>
          <w:rFonts w:eastAsia="Times New Roman" w:cstheme="minorHAnsi"/>
          <w:color w:val="222222"/>
          <w:sz w:val="24"/>
          <w:szCs w:val="24"/>
          <w:lang w:eastAsia="it-IT"/>
        </w:rPr>
        <w:t>Gli attestati elettronici di attributi</w:t>
      </w:r>
      <w:r w:rsidR="00366909" w:rsidRPr="004F3036">
        <w:rPr>
          <w:rFonts w:eastAsia="Times New Roman" w:cstheme="minorHAnsi"/>
          <w:color w:val="222222"/>
          <w:sz w:val="24"/>
          <w:szCs w:val="24"/>
          <w:lang w:eastAsia="it-IT"/>
        </w:rPr>
        <w:t xml:space="preserve"> rappresent</w:t>
      </w:r>
      <w:r>
        <w:rPr>
          <w:rFonts w:eastAsia="Times New Roman" w:cstheme="minorHAnsi"/>
          <w:color w:val="222222"/>
          <w:sz w:val="24"/>
          <w:szCs w:val="24"/>
          <w:lang w:eastAsia="it-IT"/>
        </w:rPr>
        <w:t xml:space="preserve">ano una componente essenziale del Portafoglio Europeo </w:t>
      </w:r>
      <w:r w:rsidR="00366909" w:rsidRPr="004F3036">
        <w:rPr>
          <w:rFonts w:eastAsia="Times New Roman" w:cstheme="minorHAnsi"/>
          <w:color w:val="222222"/>
          <w:sz w:val="24"/>
          <w:szCs w:val="24"/>
          <w:lang w:eastAsia="it-IT"/>
        </w:rPr>
        <w:t xml:space="preserve">per quanto riguarda l'accesso e la gestione dei servizi sanitari. Questi attestati </w:t>
      </w:r>
      <w:r w:rsidR="00753645">
        <w:rPr>
          <w:rFonts w:eastAsia="Times New Roman" w:cstheme="minorHAnsi"/>
          <w:color w:val="222222"/>
          <w:sz w:val="24"/>
          <w:szCs w:val="24"/>
          <w:lang w:eastAsia="it-IT"/>
        </w:rPr>
        <w:lastRenderedPageBreak/>
        <w:t>autenticano specifici</w:t>
      </w:r>
      <w:r w:rsidR="00366909" w:rsidRPr="004F3036">
        <w:rPr>
          <w:rFonts w:eastAsia="Times New Roman" w:cstheme="minorHAnsi"/>
          <w:color w:val="222222"/>
          <w:sz w:val="24"/>
          <w:szCs w:val="24"/>
          <w:lang w:eastAsia="it-IT"/>
        </w:rPr>
        <w:t xml:space="preserve"> attributi personali, come la qual</w:t>
      </w:r>
      <w:r>
        <w:rPr>
          <w:rFonts w:eastAsia="Times New Roman" w:cstheme="minorHAnsi"/>
          <w:color w:val="222222"/>
          <w:sz w:val="24"/>
          <w:szCs w:val="24"/>
          <w:lang w:eastAsia="it-IT"/>
        </w:rPr>
        <w:t>ifica professionale di un operatore sanitario</w:t>
      </w:r>
      <w:r w:rsidR="00366909" w:rsidRPr="004F3036">
        <w:rPr>
          <w:rFonts w:eastAsia="Times New Roman" w:cstheme="minorHAnsi"/>
          <w:color w:val="222222"/>
          <w:sz w:val="24"/>
          <w:szCs w:val="24"/>
          <w:lang w:eastAsia="it-IT"/>
        </w:rPr>
        <w:t xml:space="preserve"> o lo status </w:t>
      </w:r>
      <w:r>
        <w:rPr>
          <w:rFonts w:eastAsia="Times New Roman" w:cstheme="minorHAnsi"/>
          <w:color w:val="222222"/>
          <w:sz w:val="24"/>
          <w:szCs w:val="24"/>
          <w:lang w:eastAsia="it-IT"/>
        </w:rPr>
        <w:t xml:space="preserve">clinico </w:t>
      </w:r>
      <w:r w:rsidR="00366909" w:rsidRPr="004F3036">
        <w:rPr>
          <w:rFonts w:eastAsia="Times New Roman" w:cstheme="minorHAnsi"/>
          <w:color w:val="222222"/>
          <w:sz w:val="24"/>
          <w:szCs w:val="24"/>
          <w:lang w:eastAsia="it-IT"/>
        </w:rPr>
        <w:t>di un paziente, e sono eme</w:t>
      </w:r>
      <w:r>
        <w:rPr>
          <w:rFonts w:eastAsia="Times New Roman" w:cstheme="minorHAnsi"/>
          <w:color w:val="222222"/>
          <w:sz w:val="24"/>
          <w:szCs w:val="24"/>
          <w:lang w:eastAsia="it-IT"/>
        </w:rPr>
        <w:t>ssi da fonti che hanno titolo per la</w:t>
      </w:r>
      <w:r w:rsidR="00366909" w:rsidRPr="004F3036">
        <w:rPr>
          <w:rFonts w:eastAsia="Times New Roman" w:cstheme="minorHAnsi"/>
          <w:color w:val="222222"/>
          <w:sz w:val="24"/>
          <w:szCs w:val="24"/>
          <w:lang w:eastAsia="it-IT"/>
        </w:rPr>
        <w:t xml:space="preserve"> certificazione ufficiale</w:t>
      </w:r>
      <w:r>
        <w:rPr>
          <w:rFonts w:eastAsia="Times New Roman" w:cstheme="minorHAnsi"/>
          <w:color w:val="222222"/>
          <w:sz w:val="24"/>
          <w:szCs w:val="24"/>
          <w:lang w:eastAsia="it-IT"/>
        </w:rPr>
        <w:t xml:space="preserve"> dei dati e delle informazioni</w:t>
      </w:r>
      <w:r w:rsidR="00366909" w:rsidRPr="004F3036">
        <w:rPr>
          <w:rFonts w:eastAsia="Times New Roman" w:cstheme="minorHAnsi"/>
          <w:color w:val="222222"/>
          <w:sz w:val="24"/>
          <w:szCs w:val="24"/>
          <w:lang w:eastAsia="it-IT"/>
        </w:rPr>
        <w:t xml:space="preserve">, come università, ordini professionali o istituti sanitari. </w:t>
      </w:r>
    </w:p>
    <w:p w14:paraId="6AFB0F92" w14:textId="77777777" w:rsidR="00366909" w:rsidRPr="004F3036" w:rsidRDefault="00366909" w:rsidP="00366909">
      <w:pPr>
        <w:shd w:val="clear" w:color="auto" w:fill="FFFFFF"/>
        <w:spacing w:after="0" w:line="240" w:lineRule="auto"/>
        <w:jc w:val="both"/>
        <w:rPr>
          <w:rFonts w:eastAsia="Times New Roman" w:cstheme="minorHAnsi"/>
          <w:color w:val="222222"/>
          <w:sz w:val="24"/>
          <w:szCs w:val="24"/>
          <w:lang w:eastAsia="it-IT"/>
        </w:rPr>
      </w:pPr>
      <w:r w:rsidRPr="004F3036">
        <w:rPr>
          <w:rFonts w:eastAsia="Times New Roman" w:cstheme="minorHAnsi"/>
          <w:color w:val="222222"/>
          <w:sz w:val="24"/>
          <w:szCs w:val="24"/>
          <w:lang w:eastAsia="it-IT"/>
        </w:rPr>
        <w:t>In sanità, tali attestati possono essere utilizzati per verificare automaticamente l'idoneità di un medico a esercitare in uno Stato membro dell'UE o per confermare che un paziente ha diritto a determinati servizi di assistenza sanitaria.</w:t>
      </w:r>
    </w:p>
    <w:p w14:paraId="3C91493A" w14:textId="77777777" w:rsidR="0062341B" w:rsidRDefault="00366909" w:rsidP="00366909">
      <w:pPr>
        <w:shd w:val="clear" w:color="auto" w:fill="FFFFFF"/>
        <w:spacing w:after="0" w:line="240" w:lineRule="auto"/>
        <w:jc w:val="both"/>
        <w:rPr>
          <w:rFonts w:eastAsia="Times New Roman" w:cstheme="minorHAnsi"/>
          <w:color w:val="222222"/>
          <w:sz w:val="24"/>
          <w:szCs w:val="24"/>
          <w:lang w:eastAsia="it-IT"/>
        </w:rPr>
      </w:pPr>
      <w:r w:rsidRPr="004F3036">
        <w:rPr>
          <w:rFonts w:eastAsia="Times New Roman" w:cstheme="minorHAnsi"/>
          <w:color w:val="222222"/>
          <w:sz w:val="24"/>
          <w:szCs w:val="24"/>
          <w:lang w:eastAsia="it-IT"/>
        </w:rPr>
        <w:t>Per i pazienti, gli attestati elettronici degli attributi certificano la loro identità e status all'interno del sistema sanitario. Ad esempio, un paziente pot</w:t>
      </w:r>
      <w:r w:rsidR="0062341B">
        <w:rPr>
          <w:rFonts w:eastAsia="Times New Roman" w:cstheme="minorHAnsi"/>
          <w:color w:val="222222"/>
          <w:sz w:val="24"/>
          <w:szCs w:val="24"/>
          <w:lang w:eastAsia="it-IT"/>
        </w:rPr>
        <w:t>rebbe utilizzare il proprio Portafoglio</w:t>
      </w:r>
      <w:r w:rsidRPr="004F3036">
        <w:rPr>
          <w:rFonts w:eastAsia="Times New Roman" w:cstheme="minorHAnsi"/>
          <w:color w:val="222222"/>
          <w:sz w:val="24"/>
          <w:szCs w:val="24"/>
          <w:lang w:eastAsia="it-IT"/>
        </w:rPr>
        <w:t xml:space="preserve"> per dimostrare la propria iscrizione a un registro di malattie croniche, permettendo un accesso agevolato ai servizi di telemedicina o a farmaci specifici. </w:t>
      </w:r>
    </w:p>
    <w:p w14:paraId="2CB31335" w14:textId="77777777" w:rsidR="00366909" w:rsidRPr="004F3036" w:rsidRDefault="00366909" w:rsidP="00366909">
      <w:pPr>
        <w:shd w:val="clear" w:color="auto" w:fill="FFFFFF"/>
        <w:spacing w:after="0" w:line="240" w:lineRule="auto"/>
        <w:jc w:val="both"/>
        <w:rPr>
          <w:rFonts w:eastAsia="Times New Roman" w:cstheme="minorHAnsi"/>
          <w:color w:val="222222"/>
          <w:sz w:val="24"/>
          <w:szCs w:val="24"/>
          <w:lang w:eastAsia="it-IT"/>
        </w:rPr>
      </w:pPr>
      <w:r w:rsidRPr="004F3036">
        <w:rPr>
          <w:rFonts w:eastAsia="Times New Roman" w:cstheme="minorHAnsi"/>
          <w:color w:val="222222"/>
          <w:sz w:val="24"/>
          <w:szCs w:val="24"/>
          <w:lang w:eastAsia="it-IT"/>
        </w:rPr>
        <w:t>Questo semplifica notevolmente le p</w:t>
      </w:r>
      <w:r w:rsidR="00F40F34">
        <w:rPr>
          <w:rFonts w:eastAsia="Times New Roman" w:cstheme="minorHAnsi"/>
          <w:color w:val="222222"/>
          <w:sz w:val="24"/>
          <w:szCs w:val="24"/>
          <w:lang w:eastAsia="it-IT"/>
        </w:rPr>
        <w:t>rocedure burocratiche, ottimizza lo scambio dati, riduce</w:t>
      </w:r>
      <w:r w:rsidRPr="004F3036">
        <w:rPr>
          <w:rFonts w:eastAsia="Times New Roman" w:cstheme="minorHAnsi"/>
          <w:color w:val="222222"/>
          <w:sz w:val="24"/>
          <w:szCs w:val="24"/>
          <w:lang w:eastAsia="it-IT"/>
        </w:rPr>
        <w:t xml:space="preserve"> i tempi di attesa per ottenere trattamenti o prescrizioni mediche.</w:t>
      </w:r>
    </w:p>
    <w:p w14:paraId="6CF4A9A0" w14:textId="77777777" w:rsidR="00366909" w:rsidRPr="004F3036" w:rsidRDefault="00366909" w:rsidP="00366909">
      <w:pPr>
        <w:shd w:val="clear" w:color="auto" w:fill="FFFFFF"/>
        <w:spacing w:after="0" w:line="240" w:lineRule="auto"/>
        <w:jc w:val="both"/>
        <w:rPr>
          <w:rFonts w:eastAsia="Times New Roman" w:cstheme="minorHAnsi"/>
          <w:color w:val="222222"/>
          <w:sz w:val="24"/>
          <w:szCs w:val="24"/>
          <w:lang w:eastAsia="it-IT"/>
        </w:rPr>
      </w:pPr>
      <w:r w:rsidRPr="004F3036">
        <w:rPr>
          <w:rFonts w:eastAsia="Times New Roman" w:cstheme="minorHAnsi"/>
          <w:color w:val="222222"/>
          <w:sz w:val="24"/>
          <w:szCs w:val="24"/>
          <w:lang w:eastAsia="it-IT"/>
        </w:rPr>
        <w:t>Gli attestati elettronici qualificati sono particolarmente utili per garantire la sicurezza e l'integr</w:t>
      </w:r>
      <w:r w:rsidR="00F40F34">
        <w:rPr>
          <w:rFonts w:eastAsia="Times New Roman" w:cstheme="minorHAnsi"/>
          <w:color w:val="222222"/>
          <w:sz w:val="24"/>
          <w:szCs w:val="24"/>
          <w:lang w:eastAsia="it-IT"/>
        </w:rPr>
        <w:t>ità delle informazioni denominate sensibili</w:t>
      </w:r>
      <w:r w:rsidRPr="004F3036">
        <w:rPr>
          <w:rFonts w:eastAsia="Times New Roman" w:cstheme="minorHAnsi"/>
          <w:color w:val="222222"/>
          <w:sz w:val="24"/>
          <w:szCs w:val="24"/>
          <w:lang w:eastAsia="it-IT"/>
        </w:rPr>
        <w:t xml:space="preserve"> nel contesto sanitario. Poiché questi attestati sono emessi da fonti pubbliche o private riconosciute, offrono un livello di affidabilità superiore rispetto ai metodi tradizionali (spesso autocertificazioni analogiche o elettroniche ma prive di firma digitale). Il sistema di attestazione elettronica consente, inoltre, la validazione automatica e in tempo reale di dati importanti, riducendo la necessità di verifiche manuali da parte delle autorità sanitarie o delle strutture ospedaliere.</w:t>
      </w:r>
    </w:p>
    <w:p w14:paraId="011C4302" w14:textId="77777777" w:rsidR="00366909" w:rsidRDefault="00366909" w:rsidP="00366909">
      <w:pPr>
        <w:shd w:val="clear" w:color="auto" w:fill="FFFFFF"/>
        <w:spacing w:after="0" w:line="240" w:lineRule="auto"/>
        <w:jc w:val="both"/>
        <w:rPr>
          <w:rFonts w:eastAsia="Times New Roman" w:cstheme="minorHAnsi"/>
          <w:color w:val="222222"/>
          <w:sz w:val="24"/>
          <w:szCs w:val="24"/>
          <w:lang w:eastAsia="it-IT"/>
        </w:rPr>
      </w:pPr>
      <w:r w:rsidRPr="004F3036">
        <w:rPr>
          <w:rFonts w:eastAsia="Times New Roman" w:cstheme="minorHAnsi"/>
          <w:color w:val="222222"/>
          <w:sz w:val="24"/>
          <w:szCs w:val="24"/>
          <w:lang w:eastAsia="it-IT"/>
        </w:rPr>
        <w:t>Infine, l'uso degli attestati di attributi è cruciale per migliorare l'interoperabilità tra i diversi sistemi sanitari dei paesi membri (in Italia questo è necessario al fine di implementare i modelli assistenziali indicati nel DM</w:t>
      </w:r>
      <w:r w:rsidR="00F40F34">
        <w:rPr>
          <w:rFonts w:eastAsia="Times New Roman" w:cstheme="minorHAnsi"/>
          <w:color w:val="222222"/>
          <w:sz w:val="24"/>
          <w:szCs w:val="24"/>
          <w:lang w:eastAsia="it-IT"/>
        </w:rPr>
        <w:t xml:space="preserve"> </w:t>
      </w:r>
      <w:r w:rsidRPr="004F3036">
        <w:rPr>
          <w:rFonts w:eastAsia="Times New Roman" w:cstheme="minorHAnsi"/>
          <w:color w:val="222222"/>
          <w:sz w:val="24"/>
          <w:szCs w:val="24"/>
          <w:lang w:eastAsia="it-IT"/>
        </w:rPr>
        <w:t>77 e i P</w:t>
      </w:r>
      <w:r>
        <w:rPr>
          <w:rFonts w:eastAsia="Times New Roman" w:cstheme="minorHAnsi"/>
          <w:color w:val="222222"/>
          <w:sz w:val="24"/>
          <w:szCs w:val="24"/>
          <w:lang w:eastAsia="it-IT"/>
        </w:rPr>
        <w:t>iani</w:t>
      </w:r>
      <w:r w:rsidRPr="004F3036">
        <w:rPr>
          <w:rFonts w:eastAsia="Times New Roman" w:cstheme="minorHAnsi"/>
          <w:color w:val="222222"/>
          <w:sz w:val="24"/>
          <w:szCs w:val="24"/>
          <w:lang w:eastAsia="it-IT"/>
        </w:rPr>
        <w:t xml:space="preserve"> di Salute dei cittadini), facilitando lo scambio di informazioni sanitarie e promuovendo una maggiore continuità delle cure a livello transnazionale.</w:t>
      </w:r>
    </w:p>
    <w:p w14:paraId="34435C26" w14:textId="4010D19F" w:rsidR="00F40F34" w:rsidRDefault="00F40F34" w:rsidP="00366909">
      <w:pPr>
        <w:shd w:val="clear" w:color="auto" w:fill="FFFFFF"/>
        <w:spacing w:after="0" w:line="240" w:lineRule="auto"/>
        <w:jc w:val="both"/>
        <w:rPr>
          <w:rFonts w:eastAsia="Times New Roman" w:cstheme="minorHAnsi"/>
          <w:color w:val="222222"/>
          <w:sz w:val="24"/>
          <w:szCs w:val="24"/>
          <w:lang w:eastAsia="it-IT"/>
        </w:rPr>
      </w:pPr>
      <w:r>
        <w:rPr>
          <w:rFonts w:eastAsia="Times New Roman" w:cstheme="minorHAnsi"/>
          <w:color w:val="222222"/>
          <w:sz w:val="24"/>
          <w:szCs w:val="24"/>
          <w:lang w:eastAsia="it-IT"/>
        </w:rPr>
        <w:t>Tutti questi benefici sono potenziali. Gli elementi tecnologici di base devono essere associati ad u</w:t>
      </w:r>
      <w:r w:rsidR="00C75379">
        <w:rPr>
          <w:rFonts w:eastAsia="Times New Roman" w:cstheme="minorHAnsi"/>
          <w:color w:val="222222"/>
          <w:sz w:val="24"/>
          <w:szCs w:val="24"/>
          <w:lang w:eastAsia="it-IT"/>
        </w:rPr>
        <w:t>na organizzazione</w:t>
      </w:r>
      <w:r>
        <w:rPr>
          <w:rFonts w:eastAsia="Times New Roman" w:cstheme="minorHAnsi"/>
          <w:color w:val="222222"/>
          <w:sz w:val="24"/>
          <w:szCs w:val="24"/>
          <w:lang w:eastAsia="it-IT"/>
        </w:rPr>
        <w:t xml:space="preserve"> adeguata al mondo digitale. Il mondo digitale che “copia” le modalità operative cartacee è inefficiente per definizione.</w:t>
      </w:r>
    </w:p>
    <w:p w14:paraId="1732EF08" w14:textId="7D939516" w:rsidR="00F40F34" w:rsidRPr="004F3036" w:rsidRDefault="00F40F34" w:rsidP="00366909">
      <w:pPr>
        <w:shd w:val="clear" w:color="auto" w:fill="FFFFFF"/>
        <w:spacing w:after="0" w:line="240" w:lineRule="auto"/>
        <w:jc w:val="both"/>
        <w:rPr>
          <w:rFonts w:eastAsia="Times New Roman" w:cstheme="minorHAnsi"/>
          <w:color w:val="222222"/>
          <w:sz w:val="24"/>
          <w:szCs w:val="24"/>
          <w:lang w:eastAsia="it-IT"/>
        </w:rPr>
      </w:pPr>
      <w:r>
        <w:rPr>
          <w:rFonts w:eastAsia="Times New Roman" w:cstheme="minorHAnsi"/>
          <w:color w:val="222222"/>
          <w:sz w:val="24"/>
          <w:szCs w:val="24"/>
          <w:lang w:eastAsia="it-IT"/>
        </w:rPr>
        <w:t xml:space="preserve">L’utilizzo del Fascicolo Sanitario Elettronico e lo EHDS </w:t>
      </w:r>
      <w:r w:rsidR="0062341B">
        <w:rPr>
          <w:rFonts w:eastAsia="Times New Roman" w:cstheme="minorHAnsi"/>
          <w:color w:val="222222"/>
          <w:sz w:val="24"/>
          <w:szCs w:val="24"/>
          <w:lang w:eastAsia="it-IT"/>
        </w:rPr>
        <w:t xml:space="preserve">(European Health Data Space) </w:t>
      </w:r>
      <w:r>
        <w:rPr>
          <w:rFonts w:eastAsia="Times New Roman" w:cstheme="minorHAnsi"/>
          <w:color w:val="222222"/>
          <w:sz w:val="24"/>
          <w:szCs w:val="24"/>
          <w:lang w:eastAsia="it-IT"/>
        </w:rPr>
        <w:t>dovranno tenere conto di questa nuo</w:t>
      </w:r>
      <w:r w:rsidR="00B97440">
        <w:rPr>
          <w:rFonts w:eastAsia="Times New Roman" w:cstheme="minorHAnsi"/>
          <w:color w:val="222222"/>
          <w:sz w:val="24"/>
          <w:szCs w:val="24"/>
          <w:lang w:eastAsia="it-IT"/>
        </w:rPr>
        <w:t xml:space="preserve">va identità digitale comunitaria e lavorare per una </w:t>
      </w:r>
      <w:r w:rsidR="00C75379">
        <w:rPr>
          <w:rFonts w:eastAsia="Times New Roman" w:cstheme="minorHAnsi"/>
          <w:color w:val="222222"/>
          <w:sz w:val="24"/>
          <w:szCs w:val="24"/>
          <w:lang w:eastAsia="it-IT"/>
        </w:rPr>
        <w:t>organizzazione</w:t>
      </w:r>
      <w:r w:rsidR="00B97440">
        <w:rPr>
          <w:rFonts w:eastAsia="Times New Roman" w:cstheme="minorHAnsi"/>
          <w:color w:val="222222"/>
          <w:sz w:val="24"/>
          <w:szCs w:val="24"/>
          <w:lang w:eastAsia="it-IT"/>
        </w:rPr>
        <w:t xml:space="preserve"> </w:t>
      </w:r>
      <w:r w:rsidR="00753645">
        <w:rPr>
          <w:rFonts w:eastAsia="Times New Roman" w:cstheme="minorHAnsi"/>
          <w:color w:val="222222"/>
          <w:sz w:val="24"/>
          <w:szCs w:val="24"/>
          <w:lang w:eastAsia="it-IT"/>
        </w:rPr>
        <w:t>che sia</w:t>
      </w:r>
      <w:r w:rsidR="00B97440">
        <w:rPr>
          <w:rFonts w:eastAsia="Times New Roman" w:cstheme="minorHAnsi"/>
          <w:color w:val="222222"/>
          <w:sz w:val="24"/>
          <w:szCs w:val="24"/>
          <w:lang w:eastAsia="it-IT"/>
        </w:rPr>
        <w:t xml:space="preserve"> in grado di trarne tutti i vantaggi in termini di efficacia, efficienza ed economicità.</w:t>
      </w:r>
    </w:p>
    <w:p w14:paraId="1808C0FD" w14:textId="0A2AFBB2" w:rsidR="00366909" w:rsidRDefault="00B97440" w:rsidP="00366909">
      <w:pPr>
        <w:pStyle w:val="Puntoelenco"/>
        <w:numPr>
          <w:ilvl w:val="0"/>
          <w:numId w:val="0"/>
        </w:numPr>
        <w:spacing w:after="0" w:line="240" w:lineRule="auto"/>
        <w:jc w:val="both"/>
        <w:rPr>
          <w:rFonts w:cstheme="minorHAnsi"/>
          <w:sz w:val="24"/>
          <w:szCs w:val="24"/>
        </w:rPr>
      </w:pPr>
      <w:r>
        <w:rPr>
          <w:rFonts w:cstheme="minorHAnsi"/>
          <w:sz w:val="24"/>
          <w:szCs w:val="24"/>
        </w:rPr>
        <w:t>In ogni caso l</w:t>
      </w:r>
      <w:r w:rsidR="00366909" w:rsidRPr="00FE1975">
        <w:rPr>
          <w:rFonts w:cstheme="minorHAnsi"/>
          <w:sz w:val="24"/>
          <w:szCs w:val="24"/>
        </w:rPr>
        <w:t xml:space="preserve">a parola chiave da soddisfare per ottenere il successo del sistema, cioè, l’utilizzo diffuso da parte dei cittadini e delle imprese è </w:t>
      </w:r>
      <w:r>
        <w:rPr>
          <w:rFonts w:cstheme="minorHAnsi"/>
          <w:sz w:val="24"/>
          <w:szCs w:val="24"/>
        </w:rPr>
        <w:t>“</w:t>
      </w:r>
      <w:r w:rsidR="00366909" w:rsidRPr="00FE1975">
        <w:rPr>
          <w:rFonts w:cstheme="minorHAnsi"/>
          <w:sz w:val="24"/>
          <w:szCs w:val="24"/>
        </w:rPr>
        <w:t>fiducia</w:t>
      </w:r>
      <w:r>
        <w:rPr>
          <w:rFonts w:cstheme="minorHAnsi"/>
          <w:sz w:val="24"/>
          <w:szCs w:val="24"/>
        </w:rPr>
        <w:t>”</w:t>
      </w:r>
      <w:r w:rsidR="006A5304">
        <w:rPr>
          <w:rFonts w:cstheme="minorHAnsi"/>
          <w:sz w:val="24"/>
          <w:szCs w:val="24"/>
        </w:rPr>
        <w:t>.</w:t>
      </w:r>
    </w:p>
    <w:p w14:paraId="2E068999" w14:textId="77777777" w:rsidR="006A5304" w:rsidRDefault="006A5304" w:rsidP="00366909">
      <w:pPr>
        <w:pStyle w:val="Puntoelenco"/>
        <w:numPr>
          <w:ilvl w:val="0"/>
          <w:numId w:val="0"/>
        </w:numPr>
        <w:spacing w:after="0" w:line="240" w:lineRule="auto"/>
        <w:jc w:val="both"/>
        <w:rPr>
          <w:rFonts w:cstheme="minorHAnsi"/>
          <w:sz w:val="24"/>
          <w:szCs w:val="24"/>
        </w:rPr>
      </w:pPr>
    </w:p>
    <w:p w14:paraId="4BD97352" w14:textId="7029E83A" w:rsidR="006A5304" w:rsidRPr="00627E45" w:rsidRDefault="006A5304" w:rsidP="00366909">
      <w:pPr>
        <w:pStyle w:val="Puntoelenco"/>
        <w:numPr>
          <w:ilvl w:val="0"/>
          <w:numId w:val="0"/>
        </w:numPr>
        <w:spacing w:after="0" w:line="240" w:lineRule="auto"/>
        <w:jc w:val="both"/>
        <w:rPr>
          <w:rFonts w:cstheme="minorHAnsi"/>
          <w:b/>
          <w:color w:val="000000" w:themeColor="text1"/>
          <w:sz w:val="28"/>
          <w:szCs w:val="28"/>
        </w:rPr>
      </w:pPr>
      <w:r w:rsidRPr="00627E45">
        <w:rPr>
          <w:rFonts w:cstheme="minorHAnsi"/>
          <w:b/>
          <w:color w:val="000000" w:themeColor="text1"/>
          <w:sz w:val="28"/>
          <w:szCs w:val="28"/>
        </w:rPr>
        <w:t>4. Come le PPAA devono adeguarsi</w:t>
      </w:r>
    </w:p>
    <w:p w14:paraId="573647EC" w14:textId="77777777" w:rsidR="006A5304" w:rsidRDefault="006A5304" w:rsidP="00366909">
      <w:pPr>
        <w:pStyle w:val="Puntoelenco"/>
        <w:numPr>
          <w:ilvl w:val="0"/>
          <w:numId w:val="0"/>
        </w:numPr>
        <w:spacing w:after="0" w:line="240" w:lineRule="auto"/>
        <w:jc w:val="both"/>
        <w:rPr>
          <w:rFonts w:cstheme="minorHAnsi"/>
          <w:color w:val="000000" w:themeColor="text1"/>
          <w:sz w:val="28"/>
          <w:szCs w:val="28"/>
        </w:rPr>
      </w:pPr>
    </w:p>
    <w:p w14:paraId="52BCC822" w14:textId="77777777" w:rsidR="006A5304" w:rsidRDefault="006A5304" w:rsidP="00366909">
      <w:pPr>
        <w:pStyle w:val="Puntoelenco"/>
        <w:numPr>
          <w:ilvl w:val="0"/>
          <w:numId w:val="0"/>
        </w:numPr>
        <w:spacing w:after="0" w:line="240" w:lineRule="auto"/>
        <w:jc w:val="both"/>
        <w:rPr>
          <w:rFonts w:cstheme="minorHAnsi"/>
          <w:color w:val="000000" w:themeColor="text1"/>
          <w:sz w:val="24"/>
          <w:szCs w:val="24"/>
        </w:rPr>
      </w:pPr>
      <w:r>
        <w:rPr>
          <w:rFonts w:cstheme="minorHAnsi"/>
          <w:color w:val="000000" w:themeColor="text1"/>
          <w:sz w:val="24"/>
          <w:szCs w:val="24"/>
        </w:rPr>
        <w:t>Le pubbliche amministrazioni dovrebbero cominciare ad adeguare l’organizzazione delle procedure alla nuova identità digitale e agli attributi. L’adeguamento sarà obbligatorio a partire dall’inizio del 2027 con la piena diffusione del Portafoglio Europeo.</w:t>
      </w:r>
    </w:p>
    <w:p w14:paraId="58720545" w14:textId="7EBF5D9A" w:rsidR="006A5304" w:rsidRDefault="006A5304" w:rsidP="00366909">
      <w:pPr>
        <w:pStyle w:val="Puntoelenco"/>
        <w:numPr>
          <w:ilvl w:val="0"/>
          <w:numId w:val="0"/>
        </w:numPr>
        <w:spacing w:after="0" w:line="240" w:lineRule="auto"/>
        <w:jc w:val="both"/>
        <w:rPr>
          <w:rFonts w:cstheme="minorHAnsi"/>
          <w:color w:val="000000" w:themeColor="text1"/>
          <w:sz w:val="24"/>
          <w:szCs w:val="24"/>
        </w:rPr>
      </w:pPr>
      <w:r>
        <w:rPr>
          <w:rFonts w:cstheme="minorHAnsi"/>
          <w:color w:val="000000" w:themeColor="text1"/>
          <w:sz w:val="24"/>
          <w:szCs w:val="24"/>
        </w:rPr>
        <w:t>I punti essenziali da tenere in conto sono:</w:t>
      </w:r>
    </w:p>
    <w:p w14:paraId="027C89CE" w14:textId="77777777" w:rsidR="006A5304" w:rsidRDefault="006A5304" w:rsidP="00366909">
      <w:pPr>
        <w:pStyle w:val="Puntoelenco"/>
        <w:numPr>
          <w:ilvl w:val="0"/>
          <w:numId w:val="0"/>
        </w:numPr>
        <w:spacing w:after="0" w:line="240" w:lineRule="auto"/>
        <w:jc w:val="both"/>
        <w:rPr>
          <w:rFonts w:cstheme="minorHAnsi"/>
          <w:color w:val="000000" w:themeColor="text1"/>
          <w:sz w:val="24"/>
          <w:szCs w:val="24"/>
        </w:rPr>
      </w:pPr>
    </w:p>
    <w:p w14:paraId="0E76DEE0" w14:textId="4746186C"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Individuazione delle procedure organizzative da adeguare all’identità digitale.</w:t>
      </w:r>
    </w:p>
    <w:p w14:paraId="1A5D082A" w14:textId="16D0D85B"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Individuazione delle procedure organizzative da adeguare agli attributi elettronici.</w:t>
      </w:r>
    </w:p>
    <w:p w14:paraId="1EF9D8EA" w14:textId="6508D859"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Progettazione dei sistemi di verifica dell’identità digitale.</w:t>
      </w:r>
    </w:p>
    <w:p w14:paraId="349242F9" w14:textId="1F60BE81"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Progettazione e messa in opera delle “fonti autentiche”.</w:t>
      </w:r>
    </w:p>
    <w:p w14:paraId="730776DF" w14:textId="5D790B1E"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Progettazione e messa in opera dei sistemi di verifica e validazione degli attributi.</w:t>
      </w:r>
    </w:p>
    <w:p w14:paraId="3CAAEAB2" w14:textId="07AC56D8"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Semplificazione delle procedure sulla base della disponibilità di identità digitale e attributi.</w:t>
      </w:r>
    </w:p>
    <w:p w14:paraId="099FABBB" w14:textId="798C40E1"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Semplificazione delle procedure tramite l’utilizzo della firma digitale dell’assistito o di persona “non professionale”.</w:t>
      </w:r>
    </w:p>
    <w:p w14:paraId="434507F8" w14:textId="14A20295" w:rsidR="006A5304" w:rsidRDefault="006A530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Progettazione e messa in opera delle procedure di cui al punto precedente.</w:t>
      </w:r>
    </w:p>
    <w:p w14:paraId="69BDD1E6" w14:textId="0D4B1085" w:rsidR="006A5304" w:rsidRDefault="0048627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lastRenderedPageBreak/>
        <w:t>Adeguamento alla direttiva 2022/2555 obbligatoria per questi sistemi di identità e attributi.</w:t>
      </w:r>
    </w:p>
    <w:p w14:paraId="27FBB22D" w14:textId="77777777" w:rsidR="00486274" w:rsidRDefault="00486274" w:rsidP="00486274">
      <w:pPr>
        <w:pStyle w:val="Puntoelenco"/>
        <w:numPr>
          <w:ilvl w:val="0"/>
          <w:numId w:val="4"/>
        </w:numPr>
        <w:spacing w:after="0" w:line="240" w:lineRule="auto"/>
        <w:jc w:val="both"/>
        <w:rPr>
          <w:rFonts w:cstheme="minorHAnsi"/>
          <w:color w:val="000000" w:themeColor="text1"/>
          <w:sz w:val="24"/>
          <w:szCs w:val="24"/>
        </w:rPr>
      </w:pPr>
      <w:r>
        <w:rPr>
          <w:rFonts w:cstheme="minorHAnsi"/>
          <w:color w:val="000000" w:themeColor="text1"/>
          <w:sz w:val="24"/>
          <w:szCs w:val="24"/>
        </w:rPr>
        <w:t>Alfabetizzazione degli operatori sanitari, degli assistiti e di tutti gli altri soggetti interessati.</w:t>
      </w:r>
    </w:p>
    <w:p w14:paraId="5C07DCEC" w14:textId="77777777" w:rsidR="00486274" w:rsidRDefault="00486274" w:rsidP="00486274">
      <w:pPr>
        <w:pStyle w:val="Puntoelenco"/>
        <w:numPr>
          <w:ilvl w:val="0"/>
          <w:numId w:val="0"/>
        </w:numPr>
        <w:spacing w:after="0" w:line="240" w:lineRule="auto"/>
        <w:ind w:left="360" w:hanging="360"/>
        <w:jc w:val="both"/>
        <w:rPr>
          <w:rFonts w:cstheme="minorHAnsi"/>
          <w:color w:val="000000" w:themeColor="text1"/>
          <w:sz w:val="24"/>
          <w:szCs w:val="24"/>
        </w:rPr>
      </w:pPr>
    </w:p>
    <w:p w14:paraId="17F8CA85" w14:textId="540F4BA9" w:rsidR="00627E45" w:rsidRDefault="00627E45" w:rsidP="00486274">
      <w:pPr>
        <w:pStyle w:val="Puntoelenco"/>
        <w:numPr>
          <w:ilvl w:val="0"/>
          <w:numId w:val="0"/>
        </w:numPr>
        <w:spacing w:after="0" w:line="240" w:lineRule="auto"/>
        <w:jc w:val="both"/>
        <w:rPr>
          <w:rFonts w:cstheme="minorHAnsi"/>
          <w:color w:val="000000" w:themeColor="text1"/>
          <w:sz w:val="24"/>
          <w:szCs w:val="24"/>
        </w:rPr>
      </w:pPr>
      <w:r>
        <w:rPr>
          <w:rFonts w:cstheme="minorHAnsi"/>
          <w:color w:val="000000" w:themeColor="text1"/>
          <w:sz w:val="24"/>
          <w:szCs w:val="24"/>
        </w:rPr>
        <w:t xml:space="preserve">A supporto di queste tematiche ci dovrebbero essere delle iniziative in capo al Dipartimento per la Transizione Digitale e del Ministero della Salute. </w:t>
      </w:r>
    </w:p>
    <w:p w14:paraId="77798E0A" w14:textId="7098260E" w:rsidR="00486274" w:rsidRDefault="00486274" w:rsidP="00486274">
      <w:pPr>
        <w:pStyle w:val="Puntoelenco"/>
        <w:numPr>
          <w:ilvl w:val="0"/>
          <w:numId w:val="0"/>
        </w:numPr>
        <w:spacing w:after="0" w:line="240" w:lineRule="auto"/>
        <w:jc w:val="both"/>
        <w:rPr>
          <w:rFonts w:cstheme="minorHAnsi"/>
          <w:color w:val="000000" w:themeColor="text1"/>
          <w:sz w:val="24"/>
          <w:szCs w:val="24"/>
        </w:rPr>
      </w:pPr>
      <w:r>
        <w:rPr>
          <w:rFonts w:cstheme="minorHAnsi"/>
          <w:color w:val="000000" w:themeColor="text1"/>
          <w:sz w:val="24"/>
          <w:szCs w:val="24"/>
        </w:rPr>
        <w:t xml:space="preserve">La data del 2027 appare lontana ma in verità trattandosi di adeguamenti a passi successivi è indispensabile  iniziare a prendere confidenza con la tematica e ad affrontarla. Infine, trattandosi di materia comunitaria c’è sempre il rischio di incorrere in procedure di infrazione oltre che nelle scontate sanzioni dell’Agenzia </w:t>
      </w:r>
      <w:r w:rsidR="00627E45">
        <w:rPr>
          <w:rFonts w:cstheme="minorHAnsi"/>
          <w:color w:val="000000" w:themeColor="text1"/>
          <w:sz w:val="24"/>
          <w:szCs w:val="24"/>
        </w:rPr>
        <w:t>per la Cybersicurezza Nazionale (ACN).</w:t>
      </w:r>
    </w:p>
    <w:p w14:paraId="3A408F49" w14:textId="77777777" w:rsidR="006A5304" w:rsidRPr="006A5304" w:rsidRDefault="006A5304" w:rsidP="00366909">
      <w:pPr>
        <w:pStyle w:val="Puntoelenco"/>
        <w:numPr>
          <w:ilvl w:val="0"/>
          <w:numId w:val="0"/>
        </w:numPr>
        <w:spacing w:after="0" w:line="240" w:lineRule="auto"/>
        <w:jc w:val="both"/>
        <w:rPr>
          <w:rFonts w:cstheme="minorHAnsi"/>
          <w:color w:val="000000" w:themeColor="text1"/>
          <w:sz w:val="24"/>
          <w:szCs w:val="24"/>
        </w:rPr>
      </w:pPr>
    </w:p>
    <w:p w14:paraId="22E07926" w14:textId="77777777" w:rsidR="00366909" w:rsidRPr="00366909" w:rsidRDefault="00366909" w:rsidP="00574783">
      <w:pPr>
        <w:spacing w:after="0" w:line="240" w:lineRule="auto"/>
        <w:jc w:val="both"/>
        <w:rPr>
          <w:rStyle w:val="Enfasicorsivo"/>
          <w:rFonts w:cstheme="minorHAnsi"/>
          <w:i w:val="0"/>
          <w:sz w:val="24"/>
          <w:szCs w:val="24"/>
          <w:shd w:val="clear" w:color="auto" w:fill="FFFFFF"/>
        </w:rPr>
      </w:pPr>
    </w:p>
    <w:p w14:paraId="189470B9" w14:textId="77777777" w:rsidR="00574783" w:rsidRDefault="00574783" w:rsidP="00574783">
      <w:pPr>
        <w:spacing w:after="0" w:line="240" w:lineRule="auto"/>
        <w:jc w:val="both"/>
        <w:rPr>
          <w:rStyle w:val="Enfasicorsivo"/>
          <w:rFonts w:cstheme="minorHAnsi"/>
          <w:i w:val="0"/>
          <w:sz w:val="24"/>
          <w:szCs w:val="24"/>
          <w:shd w:val="clear" w:color="auto" w:fill="FFFFFF"/>
        </w:rPr>
      </w:pPr>
    </w:p>
    <w:p w14:paraId="11B53719" w14:textId="77777777" w:rsidR="00574783" w:rsidRDefault="00574783" w:rsidP="00574783">
      <w:pPr>
        <w:spacing w:after="0" w:line="240" w:lineRule="auto"/>
        <w:jc w:val="both"/>
        <w:rPr>
          <w:rStyle w:val="Enfasicorsivo"/>
          <w:rFonts w:cstheme="minorHAnsi"/>
          <w:i w:val="0"/>
          <w:sz w:val="24"/>
          <w:szCs w:val="24"/>
          <w:shd w:val="clear" w:color="auto" w:fill="FFFFFF"/>
        </w:rPr>
      </w:pPr>
    </w:p>
    <w:sectPr w:rsidR="00574783">
      <w:pgSz w:w="11906" w:h="16838"/>
      <w:pgMar w:top="1417" w:right="1134" w:bottom="1134" w:left="1134"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6696D95" w15:done="0"/>
  <w15:commentEx w15:paraId="117C3328" w15:done="0"/>
  <w15:commentEx w15:paraId="1663B0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DE6C16" w16cex:dateUtc="2024-11-27T11:32:00Z"/>
  <w16cex:commentExtensible w16cex:durableId="5693F0EE" w16cex:dateUtc="2024-11-27T11:37:00Z"/>
  <w16cex:commentExtensible w16cex:durableId="5B44456C" w16cex:dateUtc="2024-11-27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696D95" w16cid:durableId="6FDE6C16"/>
  <w16cid:commentId w16cid:paraId="117C3328" w16cid:durableId="5693F0EE"/>
  <w16cid:commentId w16cid:paraId="1663B052" w16cid:durableId="5B4445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07CEC3A"/>
    <w:lvl w:ilvl="0">
      <w:start w:val="1"/>
      <w:numFmt w:val="bullet"/>
      <w:pStyle w:val="Puntoelenco"/>
      <w:lvlText w:val=""/>
      <w:lvlJc w:val="left"/>
      <w:pPr>
        <w:tabs>
          <w:tab w:val="num" w:pos="360"/>
        </w:tabs>
        <w:ind w:left="360" w:hanging="360"/>
      </w:pPr>
      <w:rPr>
        <w:rFonts w:ascii="Symbol" w:hAnsi="Symbol" w:hint="default"/>
      </w:rPr>
    </w:lvl>
  </w:abstractNum>
  <w:abstractNum w:abstractNumId="1">
    <w:nsid w:val="51492092"/>
    <w:multiLevelType w:val="hybridMultilevel"/>
    <w:tmpl w:val="65CE27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5D3457CB"/>
    <w:multiLevelType w:val="hybridMultilevel"/>
    <w:tmpl w:val="9A0C64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67226213"/>
    <w:multiLevelType w:val="hybridMultilevel"/>
    <w:tmpl w:val="729E903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trizia Sormani">
    <w15:presenceInfo w15:providerId="AD" w15:userId="S-1-5-21-3636401400-1624143160-1749436510-5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504"/>
    <w:rsid w:val="00217504"/>
    <w:rsid w:val="00230DE2"/>
    <w:rsid w:val="00267CFD"/>
    <w:rsid w:val="00366909"/>
    <w:rsid w:val="003E353E"/>
    <w:rsid w:val="00477595"/>
    <w:rsid w:val="00486274"/>
    <w:rsid w:val="004F108B"/>
    <w:rsid w:val="00574783"/>
    <w:rsid w:val="0062341B"/>
    <w:rsid w:val="0062651F"/>
    <w:rsid w:val="00627E45"/>
    <w:rsid w:val="00691C15"/>
    <w:rsid w:val="006A5304"/>
    <w:rsid w:val="006F4526"/>
    <w:rsid w:val="00716542"/>
    <w:rsid w:val="00753645"/>
    <w:rsid w:val="00837E2F"/>
    <w:rsid w:val="008B606D"/>
    <w:rsid w:val="00A01FC9"/>
    <w:rsid w:val="00B31E96"/>
    <w:rsid w:val="00B97440"/>
    <w:rsid w:val="00C24853"/>
    <w:rsid w:val="00C75379"/>
    <w:rsid w:val="00F157A7"/>
    <w:rsid w:val="00F40F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574783"/>
    <w:pPr>
      <w:spacing w:after="160" w:line="259" w:lineRule="auto"/>
      <w:ind w:left="720"/>
      <w:contextualSpacing/>
    </w:pPr>
  </w:style>
  <w:style w:type="character" w:styleId="Enfasicorsivo">
    <w:name w:val="Emphasis"/>
    <w:basedOn w:val="Carpredefinitoparagrafo"/>
    <w:uiPriority w:val="20"/>
    <w:qFormat/>
    <w:rsid w:val="00574783"/>
    <w:rPr>
      <w:i/>
      <w:iCs/>
    </w:rPr>
  </w:style>
  <w:style w:type="paragraph" w:styleId="Puntoelenco">
    <w:name w:val="List Bullet"/>
    <w:basedOn w:val="Normale"/>
    <w:uiPriority w:val="99"/>
    <w:unhideWhenUsed/>
    <w:rsid w:val="00366909"/>
    <w:pPr>
      <w:numPr>
        <w:numId w:val="2"/>
      </w:numPr>
      <w:contextualSpacing/>
    </w:pPr>
  </w:style>
  <w:style w:type="paragraph" w:styleId="Revisione">
    <w:name w:val="Revision"/>
    <w:hidden/>
    <w:uiPriority w:val="99"/>
    <w:semiHidden/>
    <w:rsid w:val="00F157A7"/>
    <w:pPr>
      <w:spacing w:after="0" w:line="240" w:lineRule="auto"/>
    </w:pPr>
  </w:style>
  <w:style w:type="character" w:styleId="Rimandocommento">
    <w:name w:val="annotation reference"/>
    <w:basedOn w:val="Carpredefinitoparagrafo"/>
    <w:uiPriority w:val="99"/>
    <w:semiHidden/>
    <w:unhideWhenUsed/>
    <w:rsid w:val="00F157A7"/>
    <w:rPr>
      <w:sz w:val="16"/>
      <w:szCs w:val="16"/>
    </w:rPr>
  </w:style>
  <w:style w:type="paragraph" w:styleId="Testocommento">
    <w:name w:val="annotation text"/>
    <w:basedOn w:val="Normale"/>
    <w:link w:val="TestocommentoCarattere"/>
    <w:uiPriority w:val="99"/>
    <w:unhideWhenUsed/>
    <w:rsid w:val="00F157A7"/>
    <w:pPr>
      <w:spacing w:line="240" w:lineRule="auto"/>
    </w:pPr>
    <w:rPr>
      <w:sz w:val="20"/>
      <w:szCs w:val="20"/>
    </w:rPr>
  </w:style>
  <w:style w:type="character" w:customStyle="1" w:styleId="TestocommentoCarattere">
    <w:name w:val="Testo commento Carattere"/>
    <w:basedOn w:val="Carpredefinitoparagrafo"/>
    <w:link w:val="Testocommento"/>
    <w:uiPriority w:val="99"/>
    <w:rsid w:val="00F157A7"/>
    <w:rPr>
      <w:sz w:val="20"/>
      <w:szCs w:val="20"/>
    </w:rPr>
  </w:style>
  <w:style w:type="paragraph" w:styleId="Soggettocommento">
    <w:name w:val="annotation subject"/>
    <w:basedOn w:val="Testocommento"/>
    <w:next w:val="Testocommento"/>
    <w:link w:val="SoggettocommentoCarattere"/>
    <w:uiPriority w:val="99"/>
    <w:semiHidden/>
    <w:unhideWhenUsed/>
    <w:rsid w:val="00F157A7"/>
    <w:rPr>
      <w:b/>
      <w:bCs/>
    </w:rPr>
  </w:style>
  <w:style w:type="character" w:customStyle="1" w:styleId="SoggettocommentoCarattere">
    <w:name w:val="Soggetto commento Carattere"/>
    <w:basedOn w:val="TestocommentoCarattere"/>
    <w:link w:val="Soggettocommento"/>
    <w:uiPriority w:val="99"/>
    <w:semiHidden/>
    <w:rsid w:val="00F157A7"/>
    <w:rPr>
      <w:b/>
      <w:bCs/>
      <w:sz w:val="20"/>
      <w:szCs w:val="20"/>
    </w:rPr>
  </w:style>
  <w:style w:type="paragraph" w:styleId="Testofumetto">
    <w:name w:val="Balloon Text"/>
    <w:basedOn w:val="Normale"/>
    <w:link w:val="TestofumettoCarattere"/>
    <w:uiPriority w:val="99"/>
    <w:semiHidden/>
    <w:unhideWhenUsed/>
    <w:rsid w:val="00716542"/>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165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574783"/>
    <w:pPr>
      <w:spacing w:after="160" w:line="259" w:lineRule="auto"/>
      <w:ind w:left="720"/>
      <w:contextualSpacing/>
    </w:pPr>
  </w:style>
  <w:style w:type="character" w:styleId="Enfasicorsivo">
    <w:name w:val="Emphasis"/>
    <w:basedOn w:val="Carpredefinitoparagrafo"/>
    <w:uiPriority w:val="20"/>
    <w:qFormat/>
    <w:rsid w:val="00574783"/>
    <w:rPr>
      <w:i/>
      <w:iCs/>
    </w:rPr>
  </w:style>
  <w:style w:type="paragraph" w:styleId="Puntoelenco">
    <w:name w:val="List Bullet"/>
    <w:basedOn w:val="Normale"/>
    <w:uiPriority w:val="99"/>
    <w:unhideWhenUsed/>
    <w:rsid w:val="00366909"/>
    <w:pPr>
      <w:numPr>
        <w:numId w:val="2"/>
      </w:numPr>
      <w:contextualSpacing/>
    </w:pPr>
  </w:style>
  <w:style w:type="paragraph" w:styleId="Revisione">
    <w:name w:val="Revision"/>
    <w:hidden/>
    <w:uiPriority w:val="99"/>
    <w:semiHidden/>
    <w:rsid w:val="00F157A7"/>
    <w:pPr>
      <w:spacing w:after="0" w:line="240" w:lineRule="auto"/>
    </w:pPr>
  </w:style>
  <w:style w:type="character" w:styleId="Rimandocommento">
    <w:name w:val="annotation reference"/>
    <w:basedOn w:val="Carpredefinitoparagrafo"/>
    <w:uiPriority w:val="99"/>
    <w:semiHidden/>
    <w:unhideWhenUsed/>
    <w:rsid w:val="00F157A7"/>
    <w:rPr>
      <w:sz w:val="16"/>
      <w:szCs w:val="16"/>
    </w:rPr>
  </w:style>
  <w:style w:type="paragraph" w:styleId="Testocommento">
    <w:name w:val="annotation text"/>
    <w:basedOn w:val="Normale"/>
    <w:link w:val="TestocommentoCarattere"/>
    <w:uiPriority w:val="99"/>
    <w:unhideWhenUsed/>
    <w:rsid w:val="00F157A7"/>
    <w:pPr>
      <w:spacing w:line="240" w:lineRule="auto"/>
    </w:pPr>
    <w:rPr>
      <w:sz w:val="20"/>
      <w:szCs w:val="20"/>
    </w:rPr>
  </w:style>
  <w:style w:type="character" w:customStyle="1" w:styleId="TestocommentoCarattere">
    <w:name w:val="Testo commento Carattere"/>
    <w:basedOn w:val="Carpredefinitoparagrafo"/>
    <w:link w:val="Testocommento"/>
    <w:uiPriority w:val="99"/>
    <w:rsid w:val="00F157A7"/>
    <w:rPr>
      <w:sz w:val="20"/>
      <w:szCs w:val="20"/>
    </w:rPr>
  </w:style>
  <w:style w:type="paragraph" w:styleId="Soggettocommento">
    <w:name w:val="annotation subject"/>
    <w:basedOn w:val="Testocommento"/>
    <w:next w:val="Testocommento"/>
    <w:link w:val="SoggettocommentoCarattere"/>
    <w:uiPriority w:val="99"/>
    <w:semiHidden/>
    <w:unhideWhenUsed/>
    <w:rsid w:val="00F157A7"/>
    <w:rPr>
      <w:b/>
      <w:bCs/>
    </w:rPr>
  </w:style>
  <w:style w:type="character" w:customStyle="1" w:styleId="SoggettocommentoCarattere">
    <w:name w:val="Soggetto commento Carattere"/>
    <w:basedOn w:val="TestocommentoCarattere"/>
    <w:link w:val="Soggettocommento"/>
    <w:uiPriority w:val="99"/>
    <w:semiHidden/>
    <w:rsid w:val="00F157A7"/>
    <w:rPr>
      <w:b/>
      <w:bCs/>
      <w:sz w:val="20"/>
      <w:szCs w:val="20"/>
    </w:rPr>
  </w:style>
  <w:style w:type="paragraph" w:styleId="Testofumetto">
    <w:name w:val="Balloon Text"/>
    <w:basedOn w:val="Normale"/>
    <w:link w:val="TestofumettoCarattere"/>
    <w:uiPriority w:val="99"/>
    <w:semiHidden/>
    <w:unhideWhenUsed/>
    <w:rsid w:val="00716542"/>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165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microsoft.com/office/2011/relationships/people" Target="people.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1992</Words>
  <Characters>11356</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Microsoft</Company>
  <LinksUpToDate>false</LinksUpToDate>
  <CharactersWithSpaces>13322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MAGI</dc:creator>
  <cp:lastModifiedBy>Enzo Chilelli</cp:lastModifiedBy>
  <cp:revision>3</cp:revision>
  <dcterms:created xsi:type="dcterms:W3CDTF">2024-11-27T13:40:00Z</dcterms:created>
  <dcterms:modified xsi:type="dcterms:W3CDTF">2024-11-27T13:56:00Z</dcterms:modified>
</cp:coreProperties>
</file>