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4"/>
          <w:szCs w:val="34"/>
        </w:rPr>
        <w:t xml:space="preserve">Aplicación de un Proceso Integral de Pruebas de Software sobre un CRM de Código Abierto: Caso de Estudio Monica</w:t>
      </w:r>
    </w:p>
    <w:p>
      <w:pPr>
        <w:spacing w:after="40" w:before="0"/>
        <w:jc w:val="center"/>
      </w:pPr>
      <w:r>
        <w:rPr>
          <w:rFonts w:ascii="Times New Roman" w:cs="Times New Roman" w:eastAsia="Times New Roman" w:hAnsi="Times New Roman"/>
          <w:sz w:val="20"/>
          <w:szCs w:val="20"/>
        </w:rPr>
        <w:t xml:space="preserve">Bernahola Vilca, Piero J.  ·  Díaz Ticona, Sebastián  ·  Venero Guevara, Christian H.  ·  Soncco Mamani, Max J.  ·  Saya Vargas, Cristian R.</w:t>
      </w:r>
    </w:p>
    <w:p>
      <w:pPr>
        <w:spacing w:after="20" w:before="0"/>
        <w:jc w:val="center"/>
      </w:pPr>
      <w:r>
        <w:rPr>
          <w:rFonts w:ascii="Times New Roman" w:cs="Times New Roman" w:eastAsia="Times New Roman" w:hAnsi="Times New Roman"/>
          <w:i/>
          <w:iCs/>
          <w:sz w:val="18"/>
          <w:szCs w:val="18"/>
        </w:rPr>
        <w:t xml:space="preserve">Equipo Suri — Escuela Profesional de Ingeniería de Sistemas</w:t>
      </w:r>
    </w:p>
    <w:p>
      <w:pPr>
        <w:spacing w:after="120" w:before="0"/>
        <w:jc w:val="center"/>
      </w:pPr>
      <w:r>
        <w:rPr>
          <w:rFonts w:ascii="Times New Roman" w:cs="Times New Roman" w:eastAsia="Times New Roman" w:hAnsi="Times New Roman"/>
          <w:i/>
          <w:iCs/>
          <w:sz w:val="18"/>
          <w:szCs w:val="18"/>
        </w:rPr>
        <w:t xml:space="preserve">Universidad Nacional de San Agustín de Arequipa · Curso: Pruebas de Software · Arequipa, Perú, 2026</w:t>
      </w:r>
    </w:p>
    <w:p>
      <w:pPr>
        <w:sectPr>
          <w:pgSz w:w="12240" w:h="15840" w:orient="portrait"/>
          <w:pgMar w:top="1080" w:right="1080" w:bottom="1080" w:left="1080" w:header="708" w:footer="708" w:gutter="0"/>
          <w:pgNumType/>
          <w:docGrid w:linePitch="360"/>
        </w:sectPr>
      </w:pPr>
    </w:p>
    <w:p>
      <w:pPr>
        <w:spacing w:after="100" w:line="240"/>
        <w:jc w:val="both"/>
      </w:pPr>
      <w:r>
        <w:rPr>
          <w:rFonts w:ascii="Times New Roman" w:cs="Times New Roman" w:eastAsia="Times New Roman" w:hAnsi="Times New Roman"/>
          <w:b/>
          <w:bCs/>
          <w:i/>
          <w:iCs/>
          <w:sz w:val="20"/>
          <w:szCs w:val="20"/>
        </w:rPr>
        <w:t xml:space="preserve">Resumen—</w:t>
      </w:r>
      <w:r>
        <w:rPr>
          <w:rFonts w:ascii="Times New Roman" w:cs="Times New Roman" w:eastAsia="Times New Roman" w:hAnsi="Times New Roman"/>
          <w:sz w:val="20"/>
          <w:szCs w:val="20"/>
        </w:rPr>
        <w:t xml:space="preserve">Este trabajo presenta la aplicación de un proceso integral de pruebas de software sobre Monica, un CRM personal de código abierto construido con Laravel 9, PHP 8.2 y MySQL 8.0. El proceso abarcó pruebas unitarias y funcionales, de integración sobre las API críticas, de sistema en dos atributos (seguridad y desempeño), de aceptación de usuario y automatización de extremo a extremo con Cypress, integradas en un pipeline de integración y despliegue continuos (CI/CD) con GitHub Actions. Se ejecutan automáticamente 20 pruebas de integración y 4 escenarios E2E por cada cambio; la cobertura de la capa de lógica de negocio alcanza 92.97 %; y las pruebas de desempeño registran 0 % de errores con latencias p95 de 71 ms (1 usuario) y 386 ms (20 usuarios concurrentes). Se detectaron y documentaron seis hallazgos, incluidos tres defectos reales del producto. El caso demuestra que un proceso de pruebas por capas, automatizado en CI/CD, detecta de forma temprana defectos funcionales y de diseño no visibles mediante pruebas aisladas.</w:t>
      </w:r>
    </w:p>
    <w:p>
      <w:pPr>
        <w:spacing w:after="140" w:line="240"/>
        <w:jc w:val="both"/>
      </w:pPr>
      <w:r>
        <w:rPr>
          <w:rFonts w:ascii="Times New Roman" w:cs="Times New Roman" w:eastAsia="Times New Roman" w:hAnsi="Times New Roman"/>
          <w:b/>
          <w:bCs/>
          <w:i/>
          <w:iCs/>
          <w:sz w:val="20"/>
          <w:szCs w:val="20"/>
        </w:rPr>
        <w:t xml:space="preserve">Palabras clave—</w:t>
      </w:r>
      <w:r>
        <w:rPr>
          <w:rFonts w:ascii="Times New Roman" w:cs="Times New Roman" w:eastAsia="Times New Roman" w:hAnsi="Times New Roman"/>
          <w:sz w:val="20"/>
          <w:szCs w:val="20"/>
        </w:rPr>
        <w:t xml:space="preserve">pruebas de software, integración continua, Laravel, PHPUnit, Cypress, K6, pruebas de seguridad, pruebas de desempeño, cobertura de código.</w:t>
      </w:r>
    </w:p>
    <w:p>
      <w:pPr>
        <w:spacing w:after="80" w:before="160"/>
        <w:jc w:val="center"/>
      </w:pPr>
      <w:r>
        <w:rPr>
          <w:rFonts w:ascii="Times New Roman" w:cs="Times New Roman" w:eastAsia="Times New Roman" w:hAnsi="Times New Roman"/>
          <w:b/>
          <w:bCs/>
          <w:caps/>
          <w:sz w:val="20"/>
          <w:szCs w:val="20"/>
        </w:rPr>
        <w:t xml:space="preserve">I.  Introducción</w:t>
      </w:r>
    </w:p>
    <w:p>
      <w:pPr>
        <w:spacing w:after="120" w:line="240"/>
        <w:ind w:firstLine="220"/>
        <w:jc w:val="both"/>
      </w:pPr>
      <w:r>
        <w:rPr>
          <w:rFonts w:ascii="Times New Roman" w:cs="Times New Roman" w:eastAsia="Times New Roman" w:hAnsi="Times New Roman"/>
          <w:sz w:val="20"/>
          <w:szCs w:val="20"/>
        </w:rPr>
        <w:t xml:space="preserve">La calidad de las aplicaciones web que gestionan datos personales es crítica: un defecto en producción puede exponer información sensible o degradar la confianza del usuario. El aseguramiento de la calidad mediante pruebas sistemáticas y automatizadas reduce el costo de los defectos al detectarlos de forma temprana [1].</w:t>
      </w:r>
    </w:p>
    <w:p>
      <w:pPr>
        <w:spacing w:after="120" w:line="240"/>
        <w:ind w:firstLine="220"/>
        <w:jc w:val="both"/>
      </w:pPr>
      <w:r>
        <w:rPr>
          <w:rFonts w:ascii="Times New Roman" w:cs="Times New Roman" w:eastAsia="Times New Roman" w:hAnsi="Times New Roman"/>
          <w:sz w:val="20"/>
          <w:szCs w:val="20"/>
        </w:rPr>
        <w:t xml:space="preserve">Este artículo describe la aplicación de un proceso completo de pruebas —unitarias, de integración, de sistema, de aceptación y de extremo a extremo— sobre un producto real de código abierto, integrado en un pipeline de CI/CD reproducible. El aporte es doble: evidencia empírica de defectos reales encontrados y corregidos, y una infraestructura de calidad que protege el producto ante cambios futuros.</w:t>
      </w:r>
    </w:p>
    <w:p>
      <w:pPr>
        <w:spacing w:after="80" w:before="160"/>
        <w:jc w:val="center"/>
      </w:pPr>
      <w:r>
        <w:rPr>
          <w:rFonts w:ascii="Times New Roman" w:cs="Times New Roman" w:eastAsia="Times New Roman" w:hAnsi="Times New Roman"/>
          <w:b/>
          <w:bCs/>
          <w:caps/>
          <w:sz w:val="20"/>
          <w:szCs w:val="20"/>
        </w:rPr>
        <w:t xml:space="preserve">II.  Caso de Estudio: Monica CRM</w:t>
      </w:r>
    </w:p>
    <w:p>
      <w:pPr>
        <w:spacing w:after="120" w:line="240"/>
        <w:ind w:firstLine="220"/>
        <w:jc w:val="both"/>
      </w:pPr>
      <w:r>
        <w:rPr>
          <w:rFonts w:ascii="Times New Roman" w:cs="Times New Roman" w:eastAsia="Times New Roman" w:hAnsi="Times New Roman"/>
          <w:sz w:val="20"/>
          <w:szCs w:val="20"/>
        </w:rPr>
        <w:t xml:space="preserve">Monica es un gestor de relaciones personales (CRM) de código abierto que permite registrar contactos, recordatorios, actividades, notas y un diario. Está construido con Laravel 9 bajo un patrón MVC con una capa de servicios de dominio, una interfaz en Vue.js y persistencia en MySQL 8.0. Emplea autenticación con soporte de doble factor e identificadores cifrados en las URL.</w:t>
      </w:r>
    </w:p>
    <w:p>
      <w:pPr>
        <w:spacing w:after="120" w:line="240"/>
        <w:ind w:firstLine="220"/>
        <w:jc w:val="both"/>
      </w:pPr>
      <w:r>
        <w:rPr>
          <w:rFonts w:ascii="Times New Roman" w:cs="Times New Roman" w:eastAsia="Times New Roman" w:hAnsi="Times New Roman"/>
          <w:sz w:val="20"/>
          <w:szCs w:val="20"/>
        </w:rPr>
        <w:t xml:space="preserve">Se eligió como caso de estudio por ser un producto real, de complejidad representativa (más de 40 endpoints internos y ~20 000 líneas de código) y con una suite de pruebas preexistente parcial, lo que permite evaluar tanto la ampliación de la cobertura como la detección de defectos.</w:t>
      </w:r>
    </w:p>
    <w:p>
      <w:pPr>
        <w:spacing w:after="80" w:before="160"/>
        <w:jc w:val="center"/>
      </w:pPr>
      <w:r>
        <w:rPr>
          <w:rFonts w:ascii="Times New Roman" w:cs="Times New Roman" w:eastAsia="Times New Roman" w:hAnsi="Times New Roman"/>
          <w:b/>
          <w:bCs/>
          <w:caps/>
          <w:sz w:val="20"/>
          <w:szCs w:val="20"/>
        </w:rPr>
        <w:t xml:space="preserve">III.  Proceso de Pruebas Aplicado</w:t>
      </w:r>
    </w:p>
    <w:p>
      <w:pPr>
        <w:spacing w:after="60" w:before="100"/>
      </w:pPr>
      <w:r>
        <w:rPr>
          <w:rFonts w:ascii="Times New Roman" w:cs="Times New Roman" w:eastAsia="Times New Roman" w:hAnsi="Times New Roman"/>
          <w:i/>
          <w:iCs/>
          <w:sz w:val="20"/>
          <w:szCs w:val="20"/>
        </w:rPr>
        <w:t xml:space="preserve">A. Pruebas unitarias y funcionales</w:t>
      </w:r>
    </w:p>
    <w:p>
      <w:pPr>
        <w:spacing w:after="120" w:line="240"/>
        <w:ind w:firstLine="220"/>
        <w:jc w:val="both"/>
      </w:pPr>
      <w:r>
        <w:rPr>
          <w:rFonts w:ascii="Times New Roman" w:cs="Times New Roman" w:eastAsia="Times New Roman" w:hAnsi="Times New Roman"/>
          <w:sz w:val="20"/>
          <w:szCs w:val="20"/>
        </w:rPr>
        <w:t xml:space="preserve">Se ejecutan en CI con generación de reporte de cobertura HTML publicado automáticamente. La cobertura de líneas de la capa de lógica de negocio bajo prueba unitaria (Servicios, Modelos, Helpers, Jobs, Notificaciones) alcanza 92.97 %, superando el umbral del 85 %. El alcance de medición se define en la configuración de PHPUnit; la capa de controladores se valida mediante pruebas de integración y E2E, siguiendo la pirámide de pruebas.</w:t>
      </w:r>
    </w:p>
    <w:p>
      <w:pPr>
        <w:spacing w:after="60" w:before="100"/>
      </w:pPr>
      <w:r>
        <w:rPr>
          <w:rFonts w:ascii="Times New Roman" w:cs="Times New Roman" w:eastAsia="Times New Roman" w:hAnsi="Times New Roman"/>
          <w:i/>
          <w:iCs/>
          <w:sz w:val="20"/>
          <w:szCs w:val="20"/>
        </w:rPr>
        <w:t xml:space="preserve">B. Pruebas de integración de APIs críticas</w:t>
      </w:r>
    </w:p>
    <w:p>
      <w:pPr>
        <w:spacing w:after="120" w:line="240"/>
        <w:ind w:firstLine="220"/>
        <w:jc w:val="both"/>
      </w:pPr>
      <w:r>
        <w:rPr>
          <w:rFonts w:ascii="Times New Roman" w:cs="Times New Roman" w:eastAsia="Times New Roman" w:hAnsi="Times New Roman"/>
          <w:sz w:val="20"/>
          <w:szCs w:val="20"/>
        </w:rPr>
        <w:t xml:space="preserve">Se implementaron 20 casos sobre Contactos, Recordatorios y Actividades, ejecutados con peticiones HTTP reales contra la base de datos (patrón Arrange–Act–Assert, aislamiento con RefreshDatabase). La criticidad se justifica: Contactos es la entidad núcleo; Recordatorios materializa la propuesta de valor; y Actividades ejercita una relación muchos-a-muchos y un contrato JSON distinto.</w:t>
      </w:r>
    </w:p>
    <w:p>
      <w:pPr>
        <w:spacing w:after="120" w:line="240"/>
        <w:ind w:firstLine="220"/>
        <w:jc w:val="both"/>
      </w:pPr>
      <w:r>
        <w:rPr>
          <w:rFonts w:ascii="Times New Roman" w:cs="Times New Roman" w:eastAsia="Times New Roman" w:hAnsi="Times New Roman"/>
          <w:sz w:val="20"/>
          <w:szCs w:val="20"/>
        </w:rPr>
        <w:t xml:space="preserve">Estas pruebas revelaron un defecto de convención: el parámetro de contacto se resuelve por hash cifrado, mientras que el de actividad se resuelve por identificador numérico; la inconsistencia producía una excepción no controlada y fue corregida.</w:t>
      </w:r>
    </w:p>
    <w:p>
      <w:pPr>
        <w:spacing w:after="60" w:before="100"/>
      </w:pPr>
      <w:r>
        <w:rPr>
          <w:rFonts w:ascii="Times New Roman" w:cs="Times New Roman" w:eastAsia="Times New Roman" w:hAnsi="Times New Roman"/>
          <w:i/>
          <w:iCs/>
          <w:sz w:val="20"/>
          <w:szCs w:val="20"/>
        </w:rPr>
        <w:t xml:space="preserve">C. Pruebas de sistema (dos atributos)</w:t>
      </w:r>
    </w:p>
    <w:p>
      <w:pPr>
        <w:spacing w:after="120" w:line="240"/>
        <w:ind w:firstLine="220"/>
        <w:jc w:val="both"/>
      </w:pPr>
      <w:r>
        <w:rPr>
          <w:rFonts w:ascii="Times New Roman" w:cs="Times New Roman" w:eastAsia="Times New Roman" w:hAnsi="Times New Roman"/>
          <w:sz w:val="20"/>
          <w:szCs w:val="20"/>
        </w:rPr>
        <w:t xml:space="preserve">Seguridad: una suite ejecutable en CI verifica autenticación obligatoria en rutas protegidas, protección de operaciones de escritura, cookies HttpOnly/SameSite y almacenamiento de credenciales con hash bcrypt (5/5 controles satisfactorios), complementada con el aislamiento entre cuentas.</w:t>
      </w:r>
    </w:p>
    <w:p>
      <w:pPr>
        <w:spacing w:after="120" w:line="240"/>
        <w:ind w:firstLine="220"/>
        <w:jc w:val="both"/>
      </w:pPr>
      <w:r>
        <w:rPr>
          <w:rFonts w:ascii="Times New Roman" w:cs="Times New Roman" w:eastAsia="Times New Roman" w:hAnsi="Times New Roman"/>
          <w:sz w:val="20"/>
          <w:szCs w:val="20"/>
        </w:rPr>
        <w:t xml:space="preserve">Desempeño: con la herramienta K6 se diseñaron un smoke test (1 usuario virtual) y un load test (escalando a 20 usuarios concurrentes), con umbrales automatizados. Ambos finalizaron con 0 % de errores y latencias p95 de 71.26 ms y 386.24 ms respectivamente, muy por debajo de los umbrales (800 ms y 1500 ms), evidenciando una degradación controlada bajo carga.</w:t>
      </w:r>
    </w:p>
    <w:p>
      <w:pPr>
        <w:spacing w:after="60" w:before="100"/>
      </w:pPr>
      <w:r>
        <w:rPr>
          <w:rFonts w:ascii="Times New Roman" w:cs="Times New Roman" w:eastAsia="Times New Roman" w:hAnsi="Times New Roman"/>
          <w:i/>
          <w:iCs/>
          <w:sz w:val="20"/>
          <w:szCs w:val="20"/>
        </w:rPr>
        <w:t xml:space="preserve">D. Pruebas de aceptación de usuario (UAT)</w:t>
      </w:r>
    </w:p>
    <w:p>
      <w:pPr>
        <w:spacing w:after="120" w:line="240"/>
        <w:ind w:firstLine="220"/>
        <w:jc w:val="both"/>
      </w:pPr>
      <w:r>
        <w:rPr>
          <w:rFonts w:ascii="Times New Roman" w:cs="Times New Roman" w:eastAsia="Times New Roman" w:hAnsi="Times New Roman"/>
          <w:sz w:val="20"/>
          <w:szCs w:val="20"/>
        </w:rPr>
        <w:t xml:space="preserve">Se ejecutaron 13 escenarios manuales sobre contactos, recordatorios, actividades y validaciones de frontera, con 100 % de aprobación, evaluando la usabilidad y la claridad de los mensajes desde la perspectiva del usuario final.</w:t>
      </w:r>
    </w:p>
    <w:p>
      <w:pPr>
        <w:spacing w:after="60" w:before="100"/>
      </w:pPr>
      <w:r>
        <w:rPr>
          <w:rFonts w:ascii="Times New Roman" w:cs="Times New Roman" w:eastAsia="Times New Roman" w:hAnsi="Times New Roman"/>
          <w:i/>
          <w:iCs/>
          <w:sz w:val="20"/>
          <w:szCs w:val="20"/>
        </w:rPr>
        <w:t xml:space="preserve">E. Automatización de extremo a extremo (E2E)</w:t>
      </w:r>
    </w:p>
    <w:p>
      <w:pPr>
        <w:spacing w:after="120" w:line="240"/>
        <w:ind w:firstLine="220"/>
        <w:jc w:val="both"/>
      </w:pPr>
      <w:r>
        <w:rPr>
          <w:rFonts w:ascii="Times New Roman" w:cs="Times New Roman" w:eastAsia="Times New Roman" w:hAnsi="Times New Roman"/>
          <w:sz w:val="20"/>
          <w:szCs w:val="20"/>
        </w:rPr>
        <w:t xml:space="preserve">Con Cypress se automatizaron cuatro escenarios de flujo completo ejecutados en CI contra la aplicación real. Además de corregir defectos de la infraestructura de prueba, la automatización destapó un defecto silencioso de lógica de negocio: los recordatorios de tipo «una sola vez» con fecha del día se reprograman a un año, sin aviso al usuario.</w:t>
      </w:r>
    </w:p>
    <w:p>
      <w:pPr>
        <w:spacing w:after="60" w:before="100"/>
      </w:pPr>
      <w:r>
        <w:rPr>
          <w:rFonts w:ascii="Times New Roman" w:cs="Times New Roman" w:eastAsia="Times New Roman" w:hAnsi="Times New Roman"/>
          <w:i/>
          <w:iCs/>
          <w:sz w:val="20"/>
          <w:szCs w:val="20"/>
        </w:rPr>
        <w:t xml:space="preserve">F. Integración y despliegue continuos</w:t>
      </w:r>
    </w:p>
    <w:p>
      <w:pPr>
        <w:spacing w:after="120" w:line="240"/>
        <w:ind w:firstLine="220"/>
        <w:jc w:val="both"/>
      </w:pPr>
      <w:r>
        <w:rPr>
          <w:rFonts w:ascii="Times New Roman" w:cs="Times New Roman" w:eastAsia="Times New Roman" w:hAnsi="Times New Roman"/>
          <w:sz w:val="20"/>
          <w:szCs w:val="20"/>
        </w:rPr>
        <w:t xml:space="preserve">El pipeline en GitHub Actions encadena cuatro trabajos: pruebas unitarias con cobertura, pruebas de integración, pruebas E2E y despliegue automático de la documentación y el reporte de cobertura cuando todo pasa. Se preparó, además, análisis estático con SonarCloud como compuerta de calidad complementaria.</w:t>
      </w:r>
    </w:p>
    <w:p>
      <w:pPr>
        <w:spacing w:after="80" w:before="160"/>
        <w:jc w:val="center"/>
      </w:pPr>
      <w:r>
        <w:rPr>
          <w:rFonts w:ascii="Times New Roman" w:cs="Times New Roman" w:eastAsia="Times New Roman" w:hAnsi="Times New Roman"/>
          <w:b/>
          <w:bCs/>
          <w:caps/>
          <w:sz w:val="20"/>
          <w:szCs w:val="20"/>
        </w:rPr>
        <w:t xml:space="preserve">IV.  Resultados</w:t>
      </w:r>
    </w:p>
    <w:p>
      <w:pPr>
        <w:spacing w:after="120" w:line="240"/>
        <w:jc w:val="both"/>
      </w:pPr>
      <w:r>
        <w:rPr>
          <w:rFonts w:ascii="Times New Roman" w:cs="Times New Roman" w:eastAsia="Times New Roman" w:hAnsi="Times New Roman"/>
          <w:sz w:val="20"/>
          <w:szCs w:val="20"/>
        </w:rPr>
        <w:t xml:space="preserve">La Tabla I resume los indicadores obtenidos.</w:t>
      </w:r>
    </w:p>
    <w:p>
      <w:pPr>
        <w:spacing w:after="40" w:before="60"/>
        <w:jc w:val="center"/>
      </w:pPr>
      <w:r>
        <w:rPr>
          <w:rFonts w:ascii="Times New Roman" w:cs="Times New Roman" w:eastAsia="Times New Roman" w:hAnsi="Times New Roman"/>
          <w:caps/>
          <w:sz w:val="18"/>
          <w:szCs w:val="18"/>
        </w:rPr>
        <w:t xml:space="preserve">TABLA I. Resumen de resultados</w:t>
      </w:r>
    </w:p>
    <w:tbl>
      <w:tblPr>
        <w:tblW w:type="dxa" w:w="4850"/>
        <w:tblBorders>
          <w:top w:val="single" w:color="000000" w:sz="4"/>
          <w:left w:val="single" w:color="000000" w:sz="4"/>
          <w:bottom w:val="single" w:color="000000" w:sz="4"/>
          <w:right w:val="single" w:color="000000" w:sz="4"/>
          <w:insideH w:val="single" w:color="000000" w:sz="4"/>
          <w:insideV w:val="single" w:color="000000" w:sz="4"/>
        </w:tblBorders>
      </w:tblPr>
      <w:tblGrid>
        <w:gridCol w:w="2350"/>
        <w:gridCol w:w="1200"/>
        <w:gridCol w:w="1300"/>
      </w:tblGrid>
      <w:tr>
        <w:tc>
          <w:tcPr>
            <w:tcW w:type="dxa" w:w="2350"/>
            <w:tcMar>
              <w:top w:type="dxa" w:w="30"/>
              <w:left w:type="dxa" w:w="50"/>
              <w:bottom w:type="dxa" w:w="30"/>
              <w:right w:type="dxa" w:w="50"/>
            </w:tcMar>
          </w:tcPr>
          <w:p>
            <w:pPr>
              <w:spacing w:after="0"/>
            </w:pPr>
            <w:r>
              <w:rPr>
                <w:rFonts w:ascii="Times New Roman" w:cs="Times New Roman" w:eastAsia="Times New Roman" w:hAnsi="Times New Roman"/>
                <w:b/>
                <w:bCs/>
                <w:sz w:val="18"/>
                <w:szCs w:val="18"/>
              </w:rPr>
              <w:t xml:space="preserve">Indicador</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b/>
                <w:bCs/>
                <w:sz w:val="18"/>
                <w:szCs w:val="18"/>
              </w:rPr>
              <w:t xml:space="preserve">Resultado</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b/>
                <w:bCs/>
                <w:sz w:val="18"/>
                <w:szCs w:val="18"/>
              </w:rPr>
              <w:t xml:space="preserve">Meta / Umbral</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Cobertura unitaria (líneas)</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92.97 %</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 85 %</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Pruebas de integración</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20/20 PASS</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100 %</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Controles de seguridad</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5/5 PASS</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Escenarios UAT</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13/13</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aprobados</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E2E automatizados (CI)</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4/4 PASS</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Desempeño smoke — p95</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71.26 ms</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&lt; 800 ms</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Desempeño load 20 VUs — p95</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386.24 ms</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&lt; 1500 ms</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Tasa de error (K6)</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0.00 %</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&lt; 5 %</w:t>
            </w:r>
          </w:p>
        </w:tc>
      </w:tr>
      <w:tr>
        <w:tc>
          <w:tcPr>
            <w:tcW w:type="dxa" w:w="2350"/>
            <w:tcMar>
              <w:top w:type="dxa" w:w="30"/>
              <w:left w:type="dxa" w:w="50"/>
              <w:bottom w:type="dxa" w:w="30"/>
              <w:right w:type="dxa" w:w="50"/>
            </w:tcMar>
          </w:tcPr>
          <w:p>
            <w:pPr>
              <w:spacing w:after="0"/>
            </w:pPr>
            <w:r>
              <w:rPr>
                <w:rFonts w:ascii="Times New Roman" w:cs="Times New Roman" w:eastAsia="Times New Roman" w:hAnsi="Times New Roman"/>
                <w:sz w:val="18"/>
                <w:szCs w:val="18"/>
              </w:rPr>
              <w:t xml:space="preserve">Defectos documentados</w:t>
            </w:r>
          </w:p>
        </w:tc>
        <w:tc>
          <w:tcPr>
            <w:tcW w:type="dxa" w:w="12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6</w:t>
            </w:r>
          </w:p>
        </w:tc>
        <w:tc>
          <w:tcPr>
            <w:tcW w:type="dxa" w:w="1300"/>
            <w:tcMar>
              <w:top w:type="dxa" w:w="30"/>
              <w:left w:type="dxa" w:w="50"/>
              <w:bottom w:type="dxa" w:w="30"/>
              <w:right w:type="dxa" w:w="50"/>
            </w:tcMar>
          </w:tcPr>
          <w:p>
            <w:pPr>
              <w:spacing w:after="0"/>
              <w:jc w:val="center"/>
            </w:pPr>
            <w:r>
              <w:rPr>
                <w:rFonts w:ascii="Times New Roman" w:cs="Times New Roman" w:eastAsia="Times New Roman" w:hAnsi="Times New Roman"/>
                <w:sz w:val="18"/>
                <w:szCs w:val="18"/>
              </w:rPr>
              <w:t xml:space="preserve">—</w:t>
            </w:r>
          </w:p>
        </w:tc>
      </w:tr>
    </w:tbl>
    <w:p>
      <w:pPr>
        <w:spacing w:after="80" w:before="160"/>
        <w:jc w:val="center"/>
      </w:pPr>
      <w:r>
        <w:rPr>
          <w:rFonts w:ascii="Times New Roman" w:cs="Times New Roman" w:eastAsia="Times New Roman" w:hAnsi="Times New Roman"/>
          <w:b/>
          <w:bCs/>
          <w:caps/>
          <w:sz w:val="20"/>
          <w:szCs w:val="20"/>
        </w:rPr>
        <w:t xml:space="preserve">V.  Discusión</w:t>
      </w:r>
    </w:p>
    <w:p>
      <w:pPr>
        <w:spacing w:after="120" w:line="240"/>
        <w:ind w:firstLine="220"/>
        <w:jc w:val="both"/>
      </w:pPr>
      <w:r>
        <w:rPr>
          <w:rFonts w:ascii="Times New Roman" w:cs="Times New Roman" w:eastAsia="Times New Roman" w:hAnsi="Times New Roman"/>
          <w:sz w:val="20"/>
          <w:szCs w:val="20"/>
        </w:rPr>
        <w:t xml:space="preserve">Las pruebas de integración revelaron inconsistencias de convención invisibles para pruebas unitarias, mientras que la automatización E2E destapó un defecto de lógica de negocio no cubierto por las capas inferiores. Esto confirma el valor de un enfoque por capas: cada tipo de prueba detecta una clase distinta de defecto. El pipeline de CI/CD actúa como red de seguridad, ejecutando la pirámide completa antes de cada despliegue. Entre las limitaciones se encuentran la cobertura E2E acotada a los escenarios validados y las pruebas de desempeño sobre endpoints públicos.</w:t>
      </w:r>
    </w:p>
    <w:p>
      <w:pPr>
        <w:spacing w:after="80" w:before="160"/>
        <w:jc w:val="center"/>
      </w:pPr>
      <w:r>
        <w:rPr>
          <w:rFonts w:ascii="Times New Roman" w:cs="Times New Roman" w:eastAsia="Times New Roman" w:hAnsi="Times New Roman"/>
          <w:b/>
          <w:bCs/>
          <w:caps/>
          <w:sz w:val="20"/>
          <w:szCs w:val="20"/>
        </w:rPr>
        <w:t xml:space="preserve">VI.  Conclusiones</w:t>
      </w:r>
    </w:p>
    <w:p>
      <w:pPr>
        <w:spacing w:after="120" w:line="240"/>
        <w:ind w:firstLine="220"/>
        <w:jc w:val="both"/>
      </w:pPr>
      <w:r>
        <w:rPr>
          <w:rFonts w:ascii="Times New Roman" w:cs="Times New Roman" w:eastAsia="Times New Roman" w:hAnsi="Times New Roman"/>
          <w:sz w:val="20"/>
          <w:szCs w:val="20"/>
        </w:rPr>
        <w:t xml:space="preserve">El proceso por capas, automatizado en CI/CD, permitió validar los módulos críticos de un producto real, detectar defectos de distinta naturaleza y severidad, y dejar una infraestructura reproducible —pipeline, suites y umbrales— que protege la calidad ante cambios futuros. Los criterios de calidad establecidos (cobertura ≥ 85 %, integración de APIs críticas, dos atributos de sistema, automatización E2E) se cumplieron y quedaron documentados con evidencia verificable.</w:t>
      </w:r>
    </w:p>
    <w:p>
      <w:pPr>
        <w:spacing w:after="80" w:before="160"/>
        <w:jc w:val="center"/>
      </w:pPr>
      <w:r>
        <w:rPr>
          <w:rFonts w:ascii="Times New Roman" w:cs="Times New Roman" w:eastAsia="Times New Roman" w:hAnsi="Times New Roman"/>
          <w:b/>
          <w:bCs/>
          <w:caps/>
          <w:sz w:val="20"/>
          <w:szCs w:val="20"/>
        </w:rPr>
        <w:t xml:space="preserve">Referencias</w:t>
      </w:r>
    </w:p>
    <w:p>
      <w:pPr>
        <w:spacing w:after="40" w:line="220"/>
        <w:ind w:left="280" w:hanging="280"/>
        <w:jc w:val="both"/>
      </w:pPr>
      <w:r>
        <w:rPr>
          <w:rFonts w:ascii="Times New Roman" w:cs="Times New Roman" w:eastAsia="Times New Roman" w:hAnsi="Times New Roman"/>
          <w:sz w:val="18"/>
          <w:szCs w:val="18"/>
        </w:rPr>
        <w:t xml:space="preserve">[1] G. J. Myers, C. Sandler y T. Badgett, The Art of Software Testing, 3.ª ed. Hoboken, NJ, EE. UU.: Wiley, 2011.</w:t>
      </w:r>
    </w:p>
    <w:p>
      <w:pPr>
        <w:spacing w:after="40" w:line="220"/>
        <w:ind w:left="280" w:hanging="280"/>
        <w:jc w:val="both"/>
      </w:pPr>
      <w:r>
        <w:rPr>
          <w:rFonts w:ascii="Times New Roman" w:cs="Times New Roman" w:eastAsia="Times New Roman" w:hAnsi="Times New Roman"/>
          <w:sz w:val="18"/>
          <w:szCs w:val="18"/>
        </w:rPr>
        <w:t xml:space="preserve">[2] Monica CRM, «monicahq/monica», GitHub. [En línea]. Disponible: https://github.com/monicahq/monica</w:t>
      </w:r>
    </w:p>
    <w:p>
      <w:pPr>
        <w:spacing w:after="40" w:line="220"/>
        <w:ind w:left="280" w:hanging="280"/>
        <w:jc w:val="both"/>
      </w:pPr>
      <w:r>
        <w:rPr>
          <w:rFonts w:ascii="Times New Roman" w:cs="Times New Roman" w:eastAsia="Times New Roman" w:hAnsi="Times New Roman"/>
          <w:sz w:val="18"/>
          <w:szCs w:val="18"/>
        </w:rPr>
        <w:t xml:space="preserve">[3] Equipo Suri, «EquipoSuri — repositorio del proyecto», GitHub. [En línea]. Disponible: https://github.com/Piero-design/EquipoSuri</w:t>
      </w:r>
    </w:p>
    <w:p>
      <w:pPr>
        <w:spacing w:after="40" w:line="220"/>
        <w:ind w:left="280" w:hanging="280"/>
        <w:jc w:val="both"/>
      </w:pPr>
      <w:r>
        <w:rPr>
          <w:rFonts w:ascii="Times New Roman" w:cs="Times New Roman" w:eastAsia="Times New Roman" w:hAnsi="Times New Roman"/>
          <w:sz w:val="18"/>
          <w:szCs w:val="18"/>
        </w:rPr>
        <w:t xml:space="preserve">[4] Laravel, «Laravel 9.x Documentation». [En línea]. Disponible: https://laravel.com/docs/9.x</w:t>
      </w:r>
    </w:p>
    <w:p>
      <w:pPr>
        <w:spacing w:after="40" w:line="220"/>
        <w:ind w:left="280" w:hanging="280"/>
        <w:jc w:val="both"/>
      </w:pPr>
      <w:r>
        <w:rPr>
          <w:rFonts w:ascii="Times New Roman" w:cs="Times New Roman" w:eastAsia="Times New Roman" w:hAnsi="Times New Roman"/>
          <w:sz w:val="18"/>
          <w:szCs w:val="18"/>
        </w:rPr>
        <w:t xml:space="preserve">[5] Cypress.io, «Cypress Documentation». [En línea]. Disponible: https://docs.cypress.io</w:t>
      </w:r>
    </w:p>
    <w:p>
      <w:pPr>
        <w:spacing w:after="40" w:line="220"/>
        <w:ind w:left="280" w:hanging="280"/>
        <w:jc w:val="both"/>
      </w:pPr>
      <w:r>
        <w:rPr>
          <w:rFonts w:ascii="Times New Roman" w:cs="Times New Roman" w:eastAsia="Times New Roman" w:hAnsi="Times New Roman"/>
          <w:sz w:val="18"/>
          <w:szCs w:val="18"/>
        </w:rPr>
        <w:t xml:space="preserve">[6] Grafana Labs, «k6 Documentation». [En línea]. Disponible: https://k6.io/docs</w:t>
      </w:r>
    </w:p>
    <w:p>
      <w:pPr>
        <w:spacing w:after="40" w:line="220"/>
        <w:ind w:left="280" w:hanging="280"/>
        <w:jc w:val="both"/>
      </w:pPr>
      <w:r>
        <w:rPr>
          <w:rFonts w:ascii="Times New Roman" w:cs="Times New Roman" w:eastAsia="Times New Roman" w:hAnsi="Times New Roman"/>
          <w:sz w:val="18"/>
          <w:szCs w:val="18"/>
        </w:rPr>
        <w:t xml:space="preserve">[7] SonarSource, «SonarCloud Documentation». [En línea]. Disponible: https://docs.sonarcloud.io</w:t>
      </w:r>
    </w:p>
    <w:sectPr>
      <w:type w:val="continuous"/>
      <w:pgSz w:w="11906" w:h="16838" w:orient="portrait"/>
      <w:pgMar w:top="1440" w:right="1440" w:bottom="1440" w:left="1440" w:header="708" w:footer="708" w:gutter="0"/>
      <w:pgNumType/>
      <w:cols w:space="5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Técnico IEEE - Pruebas de Software Monica CRM</dc:title>
  <dc:creator>Equipo Suri</dc:creator>
  <cp:lastModifiedBy>Un-named</cp:lastModifiedBy>
  <cp:revision>1</cp:revision>
  <dcterms:created xsi:type="dcterms:W3CDTF">2026-07-18T23:11:55.436Z</dcterms:created>
  <dcterms:modified xsi:type="dcterms:W3CDTF">2026-07-18T23:11:55.443Z</dcterms:modified>
</cp:coreProperties>
</file>

<file path=docProps/custom.xml><?xml version="1.0" encoding="utf-8"?>
<Properties xmlns="http://schemas.openxmlformats.org/officeDocument/2006/custom-properties" xmlns:vt="http://schemas.openxmlformats.org/officeDocument/2006/docPropsVTypes"/>
</file>