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E80FC" w14:textId="3DF67911" w:rsidR="007C6628" w:rsidRDefault="002A7A18" w:rsidP="002A7A18">
      <w:pPr>
        <w:pStyle w:val="Title"/>
      </w:pPr>
      <w:r>
        <w:t>Summary ‘titanic’ project</w:t>
      </w:r>
    </w:p>
    <w:p w14:paraId="1E4FF25E" w14:textId="606FE619" w:rsidR="002A7A18" w:rsidRDefault="002770D7" w:rsidP="002A7A18">
      <w:pPr>
        <w:pStyle w:val="Heading1"/>
      </w:pPr>
      <w:r>
        <w:t>EDA</w:t>
      </w:r>
    </w:p>
    <w:p w14:paraId="583F9D13" w14:textId="1978DE76" w:rsidR="002770D7" w:rsidRDefault="00603B87" w:rsidP="00603B87">
      <w:pPr>
        <w:pStyle w:val="Heading2"/>
      </w:pPr>
      <w:r>
        <w:t>Passenger class</w:t>
      </w:r>
    </w:p>
    <w:p w14:paraId="578CD1D8" w14:textId="38526E92" w:rsidR="00603B87" w:rsidRDefault="00603B87" w:rsidP="00037F63">
      <w:pPr>
        <w:jc w:val="center"/>
      </w:pPr>
      <w:r w:rsidRPr="00603B87">
        <w:drawing>
          <wp:inline distT="0" distB="0" distL="0" distR="0" wp14:anchorId="4D689F1F" wp14:editId="1EEC70A1">
            <wp:extent cx="2722649" cy="2160000"/>
            <wp:effectExtent l="0" t="0" r="1905" b="0"/>
            <wp:docPr id="1436190435" name="Picture 1" descr="A bar chart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90435" name="Picture 1" descr="A bar chart with different colored squar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264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A5C7" w14:textId="05787F28" w:rsidR="00CB24A0" w:rsidRDefault="00E52940" w:rsidP="00CB24A0">
      <w:proofErr w:type="gramStart"/>
      <w:r>
        <w:t>T</w:t>
      </w:r>
      <w:r w:rsidRPr="00E52940">
        <w:t>he majority of</w:t>
      </w:r>
      <w:proofErr w:type="gramEnd"/>
      <w:r w:rsidRPr="00E52940">
        <w:t xml:space="preserve"> people who traveled on the Titanic, specifically 355 individuals, were in third class.</w:t>
      </w:r>
    </w:p>
    <w:p w14:paraId="610BD759" w14:textId="1F919D82" w:rsidR="00CB24A0" w:rsidRDefault="00CB24A0" w:rsidP="00CB24A0">
      <w:pPr>
        <w:pStyle w:val="Heading2"/>
      </w:pPr>
      <w:r>
        <w:t>Age</w:t>
      </w:r>
    </w:p>
    <w:p w14:paraId="2C22EC75" w14:textId="4AAD6537" w:rsidR="00CB24A0" w:rsidRDefault="00CB24A0" w:rsidP="00037F63">
      <w:pPr>
        <w:jc w:val="center"/>
      </w:pPr>
      <w:r w:rsidRPr="00CB24A0">
        <w:drawing>
          <wp:inline distT="0" distB="0" distL="0" distR="0" wp14:anchorId="7910D986" wp14:editId="25159892">
            <wp:extent cx="2663835" cy="2160000"/>
            <wp:effectExtent l="0" t="0" r="3175" b="0"/>
            <wp:docPr id="1975874321" name="Picture 1" descr="A graph with a blue rectangle and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74321" name="Picture 1" descr="A graph with a blue rectangle and black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383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15E8" w14:textId="50E5A1B8" w:rsidR="0039652C" w:rsidRDefault="00036F27" w:rsidP="00036F27">
      <w:r w:rsidRPr="00036F27">
        <w:t>The median age is 28. Additionally, the first quartile (Q1) is 20 and the third quartile (Q3) is 38.</w:t>
      </w:r>
    </w:p>
    <w:p w14:paraId="28E7B0E7" w14:textId="46062A02" w:rsidR="002770D7" w:rsidRDefault="002770D7" w:rsidP="002770D7">
      <w:pPr>
        <w:pStyle w:val="Heading1"/>
      </w:pPr>
      <w:r>
        <w:lastRenderedPageBreak/>
        <w:t>Hypothesis</w:t>
      </w:r>
    </w:p>
    <w:p w14:paraId="3F88FE4E" w14:textId="38A95181" w:rsidR="002770D7" w:rsidRDefault="006E09DF" w:rsidP="002770D7">
      <w:pPr>
        <w:pStyle w:val="Heading2"/>
      </w:pPr>
      <w:r w:rsidRPr="006E09DF">
        <w:t xml:space="preserve">Determine if the survival rate is associated to the class of </w:t>
      </w:r>
      <w:r w:rsidR="003C4CF0" w:rsidRPr="006E09DF">
        <w:t>passenger</w:t>
      </w:r>
      <w:r w:rsidR="0029786D">
        <w:t>:</w:t>
      </w:r>
    </w:p>
    <w:p w14:paraId="103FE889" w14:textId="41337D31" w:rsidR="006E09DF" w:rsidRDefault="00781040" w:rsidP="0029786D">
      <w:pPr>
        <w:jc w:val="center"/>
      </w:pPr>
      <w:r w:rsidRPr="00781040">
        <w:drawing>
          <wp:inline distT="0" distB="0" distL="0" distR="0" wp14:anchorId="6F568CED" wp14:editId="52134562">
            <wp:extent cx="3105001" cy="2520000"/>
            <wp:effectExtent l="0" t="0" r="635" b="0"/>
            <wp:docPr id="2075125005" name="Picture 1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25005" name="Picture 1" descr="A graph of a number of peop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00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4841" w14:textId="77777777" w:rsidR="006A1AC8" w:rsidRPr="0029786D" w:rsidRDefault="006A1AC8" w:rsidP="006A1AC8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H0: The survival rate and passenger class are indepedent</m:t>
          </m:r>
        </m:oMath>
      </m:oMathPara>
    </w:p>
    <w:p w14:paraId="1425B74A" w14:textId="77777777" w:rsidR="006A1AC8" w:rsidRPr="00781040" w:rsidRDefault="006A1AC8" w:rsidP="006A1AC8">
      <m:oMathPara>
        <m:oMath>
          <m:r>
            <w:rPr>
              <w:rFonts w:ascii="Cambria Math" w:hAnsi="Cambria Math"/>
            </w:rPr>
            <m:t>Ha: The survival rate and passenger class are not independent</m:t>
          </m:r>
        </m:oMath>
      </m:oMathPara>
    </w:p>
    <w:tbl>
      <w:tblPr>
        <w:tblStyle w:val="TableGrid"/>
        <w:tblW w:w="0" w:type="auto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695CE8" w14:paraId="4B6377DA" w14:textId="77777777" w:rsidTr="00036F27">
        <w:trPr>
          <w:gridAfter w:val="1"/>
          <w:wAfter w:w="2268" w:type="dxa"/>
          <w:trHeight w:val="270"/>
          <w:jc w:val="center"/>
        </w:trPr>
        <w:tc>
          <w:tcPr>
            <w:tcW w:w="2268" w:type="dxa"/>
            <w:vMerge w:val="restart"/>
            <w:shd w:val="clear" w:color="auto" w:fill="F2F2F2" w:themeFill="background1" w:themeFillShade="F2"/>
            <w:vAlign w:val="center"/>
          </w:tcPr>
          <w:p w14:paraId="16BA844E" w14:textId="093500D7" w:rsidR="00695CE8" w:rsidRDefault="00695CE8" w:rsidP="00695CE8">
            <w:pPr>
              <w:jc w:val="center"/>
            </w:pPr>
            <w:proofErr w:type="spellStart"/>
            <w:r>
              <w:t>Pclass</w:t>
            </w:r>
            <w:proofErr w:type="spellEnd"/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1C6E37E8" w14:textId="69079C57" w:rsidR="00695CE8" w:rsidRDefault="00695CE8" w:rsidP="00695CE8">
            <w:pPr>
              <w:jc w:val="center"/>
            </w:pPr>
            <w:r>
              <w:t>Survived rate</w:t>
            </w:r>
          </w:p>
        </w:tc>
      </w:tr>
      <w:tr w:rsidR="00695CE8" w14:paraId="5BAA422C" w14:textId="77777777" w:rsidTr="00036F27">
        <w:trPr>
          <w:trHeight w:val="255"/>
          <w:jc w:val="center"/>
        </w:trPr>
        <w:tc>
          <w:tcPr>
            <w:tcW w:w="2268" w:type="dxa"/>
            <w:vMerge/>
            <w:shd w:val="clear" w:color="auto" w:fill="F2F2F2" w:themeFill="background1" w:themeFillShade="F2"/>
            <w:vAlign w:val="center"/>
          </w:tcPr>
          <w:p w14:paraId="41F9C55B" w14:textId="328F0684" w:rsidR="00695CE8" w:rsidRDefault="00695CE8" w:rsidP="00695CE8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61501C3" w14:textId="01CC0FA7" w:rsidR="00695CE8" w:rsidRDefault="00695CE8" w:rsidP="00695CE8">
            <w:pPr>
              <w:jc w:val="center"/>
            </w:pPr>
            <w:r>
              <w:t>Alive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EF1572E" w14:textId="07E79242" w:rsidR="00695CE8" w:rsidRDefault="00695CE8" w:rsidP="00695CE8">
            <w:pPr>
              <w:jc w:val="center"/>
            </w:pPr>
            <w:r>
              <w:t>Dead</w:t>
            </w:r>
          </w:p>
        </w:tc>
      </w:tr>
      <w:tr w:rsidR="00E92D1F" w14:paraId="1C88AAB0" w14:textId="77777777" w:rsidTr="00036F27">
        <w:trPr>
          <w:trHeight w:val="270"/>
          <w:jc w:val="center"/>
        </w:trPr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DB9703F" w14:textId="6BFE7CE2" w:rsidR="00E92D1F" w:rsidRDefault="00E92D1F" w:rsidP="00695CE8">
            <w:pPr>
              <w:jc w:val="center"/>
            </w:pPr>
            <w:r>
              <w:t>1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3E13E7B2" w14:textId="44E497B6" w:rsidR="00E92D1F" w:rsidRDefault="00695CE8" w:rsidP="00695CE8">
            <w:pPr>
              <w:jc w:val="center"/>
            </w:pPr>
            <w:r>
              <w:t>120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CAC6418" w14:textId="72E3E8B2" w:rsidR="00E92D1F" w:rsidRDefault="00695CE8" w:rsidP="00695CE8">
            <w:pPr>
              <w:jc w:val="center"/>
            </w:pPr>
            <w:r>
              <w:t>64</w:t>
            </w:r>
          </w:p>
        </w:tc>
      </w:tr>
      <w:tr w:rsidR="00E92D1F" w14:paraId="2BF4DE3C" w14:textId="77777777" w:rsidTr="00036F27">
        <w:trPr>
          <w:trHeight w:val="255"/>
          <w:jc w:val="center"/>
        </w:trPr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78EC3035" w14:textId="1D09E92F" w:rsidR="00E92D1F" w:rsidRDefault="00E92D1F" w:rsidP="00695CE8">
            <w:pPr>
              <w:jc w:val="center"/>
            </w:pPr>
            <w:r>
              <w:t>2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8026475" w14:textId="6BAC1691" w:rsidR="00E92D1F" w:rsidRDefault="00695CE8" w:rsidP="00695CE8">
            <w:pPr>
              <w:jc w:val="center"/>
            </w:pPr>
            <w:r>
              <w:t>83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ED49214" w14:textId="1E0889F8" w:rsidR="00E92D1F" w:rsidRDefault="00695CE8" w:rsidP="00695CE8">
            <w:pPr>
              <w:jc w:val="center"/>
            </w:pPr>
            <w:r>
              <w:t>90</w:t>
            </w:r>
          </w:p>
        </w:tc>
      </w:tr>
      <w:tr w:rsidR="00E92D1F" w14:paraId="5388FD2D" w14:textId="77777777" w:rsidTr="00036F27">
        <w:trPr>
          <w:trHeight w:val="270"/>
          <w:jc w:val="center"/>
        </w:trPr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208DDBB" w14:textId="204365F3" w:rsidR="00E92D1F" w:rsidRDefault="00E92D1F" w:rsidP="00695CE8">
            <w:pPr>
              <w:jc w:val="center"/>
            </w:pPr>
            <w:r>
              <w:t>3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92F26D3" w14:textId="7DD21698" w:rsidR="00E92D1F" w:rsidRDefault="00695CE8" w:rsidP="00695CE8">
            <w:pPr>
              <w:jc w:val="center"/>
            </w:pPr>
            <w:r>
              <w:t>85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0F148F7" w14:textId="2D62A211" w:rsidR="00E92D1F" w:rsidRDefault="00695CE8" w:rsidP="00695CE8">
            <w:pPr>
              <w:jc w:val="center"/>
            </w:pPr>
            <w:r>
              <w:t>270</w:t>
            </w:r>
          </w:p>
        </w:tc>
      </w:tr>
    </w:tbl>
    <w:p w14:paraId="367055EE" w14:textId="77777777" w:rsidR="00E92D1F" w:rsidRDefault="00E92D1F" w:rsidP="006E09DF"/>
    <w:p w14:paraId="08F9C631" w14:textId="2B756D0D" w:rsidR="0045430D" w:rsidRPr="0045430D" w:rsidRDefault="0045430D" w:rsidP="0045430D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Chi-square statistic: 91.0807454879102</m:t>
          </m:r>
        </m:oMath>
      </m:oMathPara>
    </w:p>
    <w:p w14:paraId="7134E86A" w14:textId="4E5A902E" w:rsidR="0045430D" w:rsidRPr="0045430D" w:rsidRDefault="0045430D" w:rsidP="0045430D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P-value: 1.6675060315554516e-20</m:t>
          </m:r>
        </m:oMath>
      </m:oMathPara>
    </w:p>
    <w:p w14:paraId="5B11FF2E" w14:textId="30C4CAB5" w:rsidR="0045430D" w:rsidRPr="0045430D" w:rsidRDefault="0045430D" w:rsidP="004543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Degrees of freedom: </m:t>
          </m:r>
          <m:r>
            <w:rPr>
              <w:rFonts w:ascii="Cambria Math" w:hAnsi="Cambria Math"/>
            </w:rPr>
            <m:t>2</m:t>
          </m:r>
        </m:oMath>
      </m:oMathPara>
    </w:p>
    <w:p w14:paraId="4196A24A" w14:textId="237B9604" w:rsidR="0045430D" w:rsidRDefault="005A5C93" w:rsidP="007D4F7D">
      <w:r w:rsidRPr="005A5C93">
        <w:t xml:space="preserve">Since 91.08 is </w:t>
      </w:r>
      <w:r w:rsidRPr="005A5C93">
        <w:t>greater</w:t>
      </w:r>
      <w:r w:rsidRPr="005A5C93">
        <w:t xml:space="preserve"> than the DP. We reject H0. In </w:t>
      </w:r>
      <w:r w:rsidRPr="005A5C93">
        <w:t>consequence</w:t>
      </w:r>
      <w:r w:rsidRPr="005A5C93">
        <w:t>, the survival rate and passenger class are not independent.</w:t>
      </w:r>
    </w:p>
    <w:p w14:paraId="326343BB" w14:textId="52A8A61E" w:rsidR="003C4CF0" w:rsidRPr="003C4CF0" w:rsidRDefault="003C4CF0" w:rsidP="003C4CF0">
      <w:pPr>
        <w:pStyle w:val="Heading2"/>
        <w:rPr>
          <w:rFonts w:eastAsia="Times New Roman"/>
          <w:lang w:eastAsia="en-CA"/>
        </w:rPr>
      </w:pPr>
      <w:r w:rsidRPr="003C4CF0">
        <w:rPr>
          <w:rFonts w:eastAsia="Times New Roman"/>
          <w:lang w:eastAsia="en-CA"/>
        </w:rPr>
        <w:lastRenderedPageBreak/>
        <w:t>Determine if the survival rate is associated to the gender</w:t>
      </w:r>
      <w:r w:rsidR="0029786D">
        <w:rPr>
          <w:rFonts w:eastAsia="Times New Roman"/>
          <w:lang w:eastAsia="en-CA"/>
        </w:rPr>
        <w:t>:</w:t>
      </w:r>
    </w:p>
    <w:p w14:paraId="03E25BB6" w14:textId="307CD2CB" w:rsidR="00216781" w:rsidRDefault="00216781" w:rsidP="00216781">
      <w:pPr>
        <w:jc w:val="center"/>
      </w:pPr>
      <w:r w:rsidRPr="00216781">
        <w:drawing>
          <wp:inline distT="0" distB="0" distL="0" distR="0" wp14:anchorId="3FAF8B3D" wp14:editId="2AB08A8D">
            <wp:extent cx="2985065" cy="2520000"/>
            <wp:effectExtent l="0" t="0" r="6350" b="0"/>
            <wp:docPr id="520051276" name="Picture 1" descr="A graph of a person and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51276" name="Picture 1" descr="A graph of a person and pers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506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DA50" w14:textId="77777777" w:rsidR="006A1AC8" w:rsidRPr="007745B2" w:rsidRDefault="006A1AC8" w:rsidP="006A1AC8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H0: The survival rate and gender are indepedent</m:t>
          </m:r>
        </m:oMath>
      </m:oMathPara>
    </w:p>
    <w:p w14:paraId="7F73ED3F" w14:textId="58F7E66B" w:rsidR="006A1AC8" w:rsidRDefault="006A1AC8" w:rsidP="006A1AC8">
      <w:pPr>
        <w:jc w:val="left"/>
      </w:pPr>
      <m:oMathPara>
        <m:oMath>
          <m:r>
            <w:rPr>
              <w:rFonts w:ascii="Cambria Math" w:hAnsi="Cambria Math"/>
            </w:rPr>
            <m:t>Ha: The survival rate and gender class are not indepedent</m:t>
          </m:r>
        </m:oMath>
      </m:oMathPara>
    </w:p>
    <w:tbl>
      <w:tblPr>
        <w:tblStyle w:val="TableGrid"/>
        <w:tblW w:w="6804" w:type="dxa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216781" w14:paraId="2E4686B5" w14:textId="77777777" w:rsidTr="00036F27">
        <w:trPr>
          <w:gridAfter w:val="1"/>
          <w:wAfter w:w="2268" w:type="dxa"/>
          <w:trHeight w:val="270"/>
          <w:jc w:val="center"/>
        </w:trPr>
        <w:tc>
          <w:tcPr>
            <w:tcW w:w="2268" w:type="dxa"/>
            <w:vMerge w:val="restart"/>
            <w:shd w:val="clear" w:color="auto" w:fill="F2F2F2" w:themeFill="background1" w:themeFillShade="F2"/>
            <w:vAlign w:val="center"/>
          </w:tcPr>
          <w:p w14:paraId="72C3EC6F" w14:textId="65042CA6" w:rsidR="00216781" w:rsidRDefault="00216781" w:rsidP="00A5236E">
            <w:pPr>
              <w:jc w:val="center"/>
            </w:pPr>
            <w:r>
              <w:t>Sex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15252FC" w14:textId="77777777" w:rsidR="00216781" w:rsidRDefault="00216781" w:rsidP="00A5236E">
            <w:pPr>
              <w:jc w:val="center"/>
            </w:pPr>
            <w:r>
              <w:t>Survived rate</w:t>
            </w:r>
          </w:p>
        </w:tc>
      </w:tr>
      <w:tr w:rsidR="00216781" w14:paraId="73E733C2" w14:textId="77777777" w:rsidTr="00036F27">
        <w:trPr>
          <w:trHeight w:val="255"/>
          <w:jc w:val="center"/>
        </w:trPr>
        <w:tc>
          <w:tcPr>
            <w:tcW w:w="2268" w:type="dxa"/>
            <w:vMerge/>
            <w:shd w:val="clear" w:color="auto" w:fill="F2F2F2" w:themeFill="background1" w:themeFillShade="F2"/>
            <w:vAlign w:val="center"/>
          </w:tcPr>
          <w:p w14:paraId="62AA9C94" w14:textId="77777777" w:rsidR="00216781" w:rsidRDefault="00216781" w:rsidP="00A5236E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645B6E7" w14:textId="77777777" w:rsidR="00216781" w:rsidRDefault="00216781" w:rsidP="00A5236E">
            <w:pPr>
              <w:jc w:val="center"/>
            </w:pPr>
            <w:r>
              <w:t>Alive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7B868D49" w14:textId="77777777" w:rsidR="00216781" w:rsidRDefault="00216781" w:rsidP="00A5236E">
            <w:pPr>
              <w:jc w:val="center"/>
            </w:pPr>
            <w:r>
              <w:t>Dead</w:t>
            </w:r>
          </w:p>
        </w:tc>
      </w:tr>
      <w:tr w:rsidR="00216781" w14:paraId="173A4346" w14:textId="77777777" w:rsidTr="00036F27">
        <w:trPr>
          <w:trHeight w:val="270"/>
          <w:jc w:val="center"/>
        </w:trPr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7B99EA1" w14:textId="4CDEE7DA" w:rsidR="00216781" w:rsidRDefault="00216781" w:rsidP="00A5236E">
            <w:pPr>
              <w:jc w:val="center"/>
            </w:pPr>
            <w:r>
              <w:t>Female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7707316B" w14:textId="25C436AA" w:rsidR="00216781" w:rsidRDefault="00216781" w:rsidP="00A5236E">
            <w:pPr>
              <w:jc w:val="center"/>
            </w:pPr>
            <w:r>
              <w:t>195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9FFD925" w14:textId="74F25064" w:rsidR="00216781" w:rsidRDefault="00216781" w:rsidP="00A5236E">
            <w:pPr>
              <w:jc w:val="center"/>
            </w:pPr>
            <w:r>
              <w:t>64</w:t>
            </w:r>
          </w:p>
        </w:tc>
      </w:tr>
      <w:tr w:rsidR="00216781" w14:paraId="4CB5CFC2" w14:textId="77777777" w:rsidTr="00036F27">
        <w:trPr>
          <w:trHeight w:val="255"/>
          <w:jc w:val="center"/>
        </w:trPr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1339E4F" w14:textId="2B8171EC" w:rsidR="00216781" w:rsidRDefault="00216781" w:rsidP="00A5236E">
            <w:pPr>
              <w:jc w:val="center"/>
            </w:pPr>
            <w:r>
              <w:t>Male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44D1A49" w14:textId="7FBD34EA" w:rsidR="00216781" w:rsidRDefault="00216781" w:rsidP="00A5236E">
            <w:pPr>
              <w:jc w:val="center"/>
            </w:pPr>
            <w:r>
              <w:t>93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3CF63757" w14:textId="24B8A9EE" w:rsidR="00216781" w:rsidRDefault="00216781" w:rsidP="00A5236E">
            <w:pPr>
              <w:jc w:val="center"/>
            </w:pPr>
            <w:r>
              <w:t>360</w:t>
            </w:r>
          </w:p>
        </w:tc>
      </w:tr>
    </w:tbl>
    <w:p w14:paraId="69B5258C" w14:textId="77777777" w:rsidR="00216781" w:rsidRDefault="00216781" w:rsidP="00216781">
      <w:pPr>
        <w:jc w:val="center"/>
      </w:pPr>
    </w:p>
    <w:p w14:paraId="6EE33BF8" w14:textId="5FDAD6A5" w:rsidR="00E56D40" w:rsidRPr="00E56D40" w:rsidRDefault="00E56D40" w:rsidP="00E56D40">
      <w:pPr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Chi-square statistic: 202.86944877617123</m:t>
          </m:r>
        </m:oMath>
      </m:oMathPara>
    </w:p>
    <w:p w14:paraId="1E809BB2" w14:textId="38D59256" w:rsidR="00E56D40" w:rsidRPr="00E56D40" w:rsidRDefault="00E56D40" w:rsidP="00E56D40">
      <w:pPr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P-value: 4.939416685451492e-46</m:t>
          </m:r>
        </m:oMath>
      </m:oMathPara>
    </w:p>
    <w:p w14:paraId="461B85B1" w14:textId="7D08DACC" w:rsidR="005A5C93" w:rsidRPr="00E56D40" w:rsidRDefault="00E56D40" w:rsidP="00E56D40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Degrees of freedom: </m:t>
          </m:r>
          <m:r>
            <w:rPr>
              <w:rFonts w:ascii="Cambria Math" w:hAnsi="Cambria Math"/>
            </w:rPr>
            <m:t>1</m:t>
          </m:r>
        </m:oMath>
      </m:oMathPara>
    </w:p>
    <w:p w14:paraId="48DE043F" w14:textId="4466FAB5" w:rsidR="00E56D40" w:rsidRPr="00E56D40" w:rsidRDefault="00E56D40" w:rsidP="007D4F7D">
      <w:pPr>
        <w:rPr>
          <w:lang w:eastAsia="en-CA"/>
        </w:rPr>
      </w:pPr>
      <w:r w:rsidRPr="00E56D40">
        <w:rPr>
          <w:lang w:eastAsia="en-CA"/>
        </w:rPr>
        <w:t xml:space="preserve">Since 202.86 is </w:t>
      </w:r>
      <w:r w:rsidRPr="00E56D40">
        <w:rPr>
          <w:lang w:eastAsia="en-CA"/>
        </w:rPr>
        <w:t>greater</w:t>
      </w:r>
      <w:r w:rsidRPr="00E56D40">
        <w:rPr>
          <w:lang w:eastAsia="en-CA"/>
        </w:rPr>
        <w:t xml:space="preserve"> than the DP. We reject H0. In </w:t>
      </w:r>
      <w:r w:rsidRPr="00E56D40">
        <w:rPr>
          <w:lang w:eastAsia="en-CA"/>
        </w:rPr>
        <w:t>consequence</w:t>
      </w:r>
      <w:r w:rsidRPr="00E56D40">
        <w:rPr>
          <w:lang w:eastAsia="en-CA"/>
        </w:rPr>
        <w:t>, the survival rate and 'sex' are not independent.</w:t>
      </w:r>
    </w:p>
    <w:p w14:paraId="1D2C0EDA" w14:textId="77777777" w:rsidR="00E56D40" w:rsidRDefault="00E56D40" w:rsidP="00E56D40"/>
    <w:p w14:paraId="3214FCCC" w14:textId="2AF9A816" w:rsidR="003C4CF0" w:rsidRPr="003C4CF0" w:rsidRDefault="003C4CF0" w:rsidP="003C4CF0">
      <w:pPr>
        <w:pStyle w:val="Heading2"/>
        <w:rPr>
          <w:rFonts w:eastAsia="Times New Roman"/>
          <w:lang w:eastAsia="en-CA"/>
        </w:rPr>
      </w:pPr>
      <w:r w:rsidRPr="003C4CF0">
        <w:rPr>
          <w:rFonts w:eastAsia="Times New Roman"/>
          <w:lang w:eastAsia="en-CA"/>
        </w:rPr>
        <w:lastRenderedPageBreak/>
        <w:t>Determine the survival rate is associated to the age</w:t>
      </w:r>
      <w:r w:rsidR="0029786D">
        <w:rPr>
          <w:rFonts w:eastAsia="Times New Roman"/>
          <w:lang w:eastAsia="en-CA"/>
        </w:rPr>
        <w:t>:</w:t>
      </w:r>
    </w:p>
    <w:p w14:paraId="525822B6" w14:textId="7767590F" w:rsidR="003C4CF0" w:rsidRDefault="00216781" w:rsidP="00216781">
      <w:pPr>
        <w:jc w:val="center"/>
      </w:pPr>
      <w:r w:rsidRPr="00216781">
        <w:drawing>
          <wp:inline distT="0" distB="0" distL="0" distR="0" wp14:anchorId="52D07A0D" wp14:editId="46509728">
            <wp:extent cx="3237616" cy="2520000"/>
            <wp:effectExtent l="0" t="0" r="1270" b="0"/>
            <wp:docPr id="2134525197" name="Picture 1" descr="A graph with a box plot and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25197" name="Picture 1" descr="A graph with a box plot and a number of number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761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7A5A88" w14:paraId="051E39A4" w14:textId="77777777" w:rsidTr="00036F27">
        <w:trPr>
          <w:jc w:val="center"/>
        </w:trPr>
        <w:tc>
          <w:tcPr>
            <w:tcW w:w="1984" w:type="dxa"/>
            <w:shd w:val="clear" w:color="auto" w:fill="F2F2F2" w:themeFill="background1" w:themeFillShade="F2"/>
          </w:tcPr>
          <w:p w14:paraId="0B8D3DE6" w14:textId="77777777" w:rsidR="007A5A88" w:rsidRDefault="007A5A88" w:rsidP="00216781">
            <w:pPr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448C45F2" w14:textId="1AB9CEA5" w:rsidR="007A5A88" w:rsidRDefault="007A5A88" w:rsidP="00216781">
            <w:pPr>
              <w:jc w:val="center"/>
            </w:pPr>
            <w:r>
              <w:t>Q1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46420E4" w14:textId="65292002" w:rsidR="007A5A88" w:rsidRDefault="007A5A88" w:rsidP="00216781">
            <w:pPr>
              <w:jc w:val="center"/>
            </w:pPr>
            <w:r>
              <w:t>Q2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04EABB6" w14:textId="1154225A" w:rsidR="007A5A88" w:rsidRDefault="007A5A88" w:rsidP="00216781">
            <w:pPr>
              <w:jc w:val="center"/>
            </w:pPr>
            <w:r>
              <w:t>Q3</w:t>
            </w:r>
          </w:p>
        </w:tc>
      </w:tr>
      <w:tr w:rsidR="007A5A88" w14:paraId="184E6F3F" w14:textId="77777777" w:rsidTr="00036F27">
        <w:trPr>
          <w:jc w:val="center"/>
        </w:trPr>
        <w:tc>
          <w:tcPr>
            <w:tcW w:w="1984" w:type="dxa"/>
            <w:shd w:val="clear" w:color="auto" w:fill="F2F2F2" w:themeFill="background1" w:themeFillShade="F2"/>
          </w:tcPr>
          <w:p w14:paraId="7395F7DB" w14:textId="7BB0C002" w:rsidR="007A5A88" w:rsidRDefault="007A5A88" w:rsidP="00216781">
            <w:pPr>
              <w:jc w:val="center"/>
            </w:pPr>
            <w:r>
              <w:t>Dead</w:t>
            </w:r>
          </w:p>
        </w:tc>
        <w:tc>
          <w:tcPr>
            <w:tcW w:w="1984" w:type="dxa"/>
            <w:shd w:val="clear" w:color="auto" w:fill="FFFFFF" w:themeFill="background1"/>
          </w:tcPr>
          <w:p w14:paraId="5B527E00" w14:textId="28BECD50" w:rsidR="007A5A88" w:rsidRDefault="007A5A88" w:rsidP="00216781">
            <w:pPr>
              <w:jc w:val="center"/>
            </w:pPr>
            <w:r>
              <w:t>21</w:t>
            </w:r>
          </w:p>
        </w:tc>
        <w:tc>
          <w:tcPr>
            <w:tcW w:w="1984" w:type="dxa"/>
            <w:shd w:val="clear" w:color="auto" w:fill="FFFFFF" w:themeFill="background1"/>
          </w:tcPr>
          <w:p w14:paraId="06B8A024" w14:textId="700A4F22" w:rsidR="007A5A88" w:rsidRDefault="007A5A88" w:rsidP="00216781">
            <w:pPr>
              <w:jc w:val="center"/>
            </w:pPr>
            <w:r>
              <w:t>28</w:t>
            </w:r>
          </w:p>
        </w:tc>
        <w:tc>
          <w:tcPr>
            <w:tcW w:w="1984" w:type="dxa"/>
            <w:shd w:val="clear" w:color="auto" w:fill="FFFFFF" w:themeFill="background1"/>
          </w:tcPr>
          <w:p w14:paraId="73E44C42" w14:textId="2248DF72" w:rsidR="007A5A88" w:rsidRDefault="007A5A88" w:rsidP="00216781">
            <w:pPr>
              <w:jc w:val="center"/>
            </w:pPr>
            <w:r>
              <w:t>39</w:t>
            </w:r>
          </w:p>
        </w:tc>
      </w:tr>
      <w:tr w:rsidR="007A5A88" w14:paraId="6DC82E40" w14:textId="77777777" w:rsidTr="00036F27">
        <w:trPr>
          <w:jc w:val="center"/>
        </w:trPr>
        <w:tc>
          <w:tcPr>
            <w:tcW w:w="1984" w:type="dxa"/>
            <w:shd w:val="clear" w:color="auto" w:fill="F2F2F2" w:themeFill="background1" w:themeFillShade="F2"/>
          </w:tcPr>
          <w:p w14:paraId="140E93B0" w14:textId="10973B3F" w:rsidR="007A5A88" w:rsidRDefault="007A5A88" w:rsidP="00216781">
            <w:pPr>
              <w:jc w:val="center"/>
            </w:pPr>
            <w:r>
              <w:t>Alive</w:t>
            </w:r>
          </w:p>
        </w:tc>
        <w:tc>
          <w:tcPr>
            <w:tcW w:w="1984" w:type="dxa"/>
            <w:shd w:val="clear" w:color="auto" w:fill="FFFFFF" w:themeFill="background1"/>
          </w:tcPr>
          <w:p w14:paraId="0E448B93" w14:textId="7CA137EF" w:rsidR="007A5A88" w:rsidRDefault="007A5A88" w:rsidP="00216781">
            <w:pPr>
              <w:jc w:val="center"/>
            </w:pPr>
            <w:r>
              <w:t>19</w:t>
            </w:r>
          </w:p>
        </w:tc>
        <w:tc>
          <w:tcPr>
            <w:tcW w:w="1984" w:type="dxa"/>
            <w:shd w:val="clear" w:color="auto" w:fill="FFFFFF" w:themeFill="background1"/>
          </w:tcPr>
          <w:p w14:paraId="76AB4890" w14:textId="20D17ED1" w:rsidR="007A5A88" w:rsidRDefault="007A5A88" w:rsidP="00216781">
            <w:pPr>
              <w:jc w:val="center"/>
            </w:pPr>
            <w:r>
              <w:t>28</w:t>
            </w:r>
          </w:p>
        </w:tc>
        <w:tc>
          <w:tcPr>
            <w:tcW w:w="1984" w:type="dxa"/>
            <w:shd w:val="clear" w:color="auto" w:fill="FFFFFF" w:themeFill="background1"/>
          </w:tcPr>
          <w:p w14:paraId="240BA510" w14:textId="7596065A" w:rsidR="007A5A88" w:rsidRDefault="007A5A88" w:rsidP="00216781">
            <w:pPr>
              <w:jc w:val="center"/>
            </w:pPr>
            <w:r>
              <w:t>36</w:t>
            </w:r>
          </w:p>
        </w:tc>
      </w:tr>
    </w:tbl>
    <w:p w14:paraId="0856C8D8" w14:textId="77777777" w:rsidR="003D4683" w:rsidRDefault="003D4683" w:rsidP="003D4683"/>
    <w:p w14:paraId="5DF1B3D6" w14:textId="51861FF9" w:rsidR="003D4683" w:rsidRPr="007D4F7D" w:rsidRDefault="003D4683" w:rsidP="007D4F7D">
      <w:r w:rsidRPr="003D4683">
        <w:t xml:space="preserve">Despite </w:t>
      </w:r>
      <w:r w:rsidRPr="003D4683">
        <w:t>some</w:t>
      </w:r>
      <w:r w:rsidRPr="003D4683">
        <w:t xml:space="preserve"> outliers, the median of people who died and the median of who lived are the same.</w:t>
      </w:r>
      <w:r w:rsidR="007D4F7D">
        <w:t xml:space="preserve"> </w:t>
      </w:r>
      <w:r w:rsidRPr="007D4F7D">
        <w:t xml:space="preserve">Besides, the first and third quartiles are not so different. In </w:t>
      </w:r>
      <w:r w:rsidRPr="007D4F7D">
        <w:t>conclusion</w:t>
      </w:r>
      <w:r w:rsidRPr="007D4F7D">
        <w:t>, the age and the survival rate are not related.</w:t>
      </w:r>
    </w:p>
    <w:sectPr w:rsidR="003D4683" w:rsidRPr="007D4F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90"/>
    <w:rsid w:val="00036F27"/>
    <w:rsid w:val="00037F63"/>
    <w:rsid w:val="00216781"/>
    <w:rsid w:val="002770D7"/>
    <w:rsid w:val="0029786D"/>
    <w:rsid w:val="002A7A18"/>
    <w:rsid w:val="003576A8"/>
    <w:rsid w:val="0039652C"/>
    <w:rsid w:val="003C4CF0"/>
    <w:rsid w:val="003D4683"/>
    <w:rsid w:val="0045430D"/>
    <w:rsid w:val="00455752"/>
    <w:rsid w:val="005445CB"/>
    <w:rsid w:val="005A5C93"/>
    <w:rsid w:val="00603B87"/>
    <w:rsid w:val="00695CE8"/>
    <w:rsid w:val="006A1AC8"/>
    <w:rsid w:val="006E09DF"/>
    <w:rsid w:val="007745B2"/>
    <w:rsid w:val="00781040"/>
    <w:rsid w:val="007A5A88"/>
    <w:rsid w:val="007C6628"/>
    <w:rsid w:val="007D4F7D"/>
    <w:rsid w:val="00865D90"/>
    <w:rsid w:val="00AF6CD4"/>
    <w:rsid w:val="00CB24A0"/>
    <w:rsid w:val="00E52940"/>
    <w:rsid w:val="00E56D40"/>
    <w:rsid w:val="00E92D1F"/>
    <w:rsid w:val="00F1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6E0E"/>
  <w15:chartTrackingRefBased/>
  <w15:docId w15:val="{9982D31F-9AC8-40EA-96D9-C0DBC66B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F7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A7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7A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7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7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92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78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Piero Alonso Vera Valverde</dc:creator>
  <cp:keywords/>
  <dc:description/>
  <cp:lastModifiedBy>Piero Alonso Vera Valverde</cp:lastModifiedBy>
  <cp:revision>28</cp:revision>
  <dcterms:created xsi:type="dcterms:W3CDTF">2023-10-22T02:15:00Z</dcterms:created>
  <dcterms:modified xsi:type="dcterms:W3CDTF">2023-10-22T03:01:00Z</dcterms:modified>
</cp:coreProperties>
</file>