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ACEBB" w14:textId="77777777" w:rsidR="00336A0B" w:rsidRPr="00BA312F" w:rsidRDefault="00336A0B" w:rsidP="00BA312F">
      <w:pPr>
        <w:jc w:val="center"/>
        <w:rPr>
          <w:rFonts w:ascii="Times New Roman" w:hAnsi="Times New Roman" w:cs="Times New Roman"/>
          <w:b/>
          <w:bCs/>
          <w:sz w:val="40"/>
          <w:szCs w:val="40"/>
        </w:rPr>
      </w:pPr>
      <w:r>
        <w:rPr>
          <w:rFonts w:ascii="Times New Roman" w:hAnsi="Times New Roman" w:cs="Times New Roman"/>
          <w:b/>
          <w:bCs/>
          <w:sz w:val="40"/>
          <w:szCs w:val="40"/>
        </w:rPr>
        <w:t>Sistema Multizona de Monitoreo Térmico y Seguridad para Almacenamiento de Alimentos en Entornos Gastronómicos</w:t>
      </w:r>
    </w:p>
    <w:p w14:paraId="1C79AE48" w14:textId="3FD4D36C" w:rsidR="00336A0B" w:rsidRPr="00BA312F" w:rsidRDefault="00BA312F" w:rsidP="00BA312F">
      <w:pPr>
        <w:jc w:val="center"/>
        <w:rPr>
          <w:rFonts w:ascii="Times New Roman" w:hAnsi="Times New Roman" w:cs="Times New Roman"/>
          <w:i/>
          <w:iCs/>
          <w:sz w:val="22"/>
          <w:szCs w:val="22"/>
        </w:rPr>
      </w:pPr>
      <w:r>
        <w:rPr>
          <w:rFonts w:ascii="Times New Roman" w:hAnsi="Times New Roman" w:cs="Times New Roman"/>
          <w:i/>
          <w:iCs/>
          <w:sz w:val="22"/>
          <w:szCs w:val="22"/>
        </w:rPr>
        <w:t>UNFV— [</w:t>
      </w:r>
      <w:r w:rsidR="00B17F81">
        <w:rPr>
          <w:rFonts w:ascii="Times New Roman" w:hAnsi="Times New Roman" w:cs="Times New Roman"/>
          <w:i/>
          <w:iCs/>
          <w:sz w:val="22"/>
          <w:szCs w:val="22"/>
        </w:rPr>
        <w:t xml:space="preserve">Yerald De La Cruz Inga, Miguel Ángel Castillo Morote, </w:t>
      </w:r>
      <w:r>
        <w:rPr>
          <w:rFonts w:ascii="Times New Roman" w:hAnsi="Times New Roman" w:cs="Times New Roman"/>
          <w:i/>
          <w:iCs/>
          <w:sz w:val="22"/>
          <w:szCs w:val="22"/>
        </w:rPr>
        <w:t xml:space="preserve">Percy </w:t>
      </w:r>
      <w:r w:rsidR="00B17F81">
        <w:rPr>
          <w:rFonts w:ascii="Times New Roman" w:hAnsi="Times New Roman" w:cs="Times New Roman"/>
          <w:i/>
          <w:iCs/>
          <w:sz w:val="22"/>
          <w:szCs w:val="22"/>
        </w:rPr>
        <w:t xml:space="preserve">Junior </w:t>
      </w:r>
      <w:r>
        <w:rPr>
          <w:rFonts w:ascii="Times New Roman" w:hAnsi="Times New Roman" w:cs="Times New Roman"/>
          <w:i/>
          <w:iCs/>
          <w:sz w:val="22"/>
          <w:szCs w:val="22"/>
        </w:rPr>
        <w:t>Camargo Arias</w:t>
      </w:r>
      <w:r w:rsidR="00B17F81">
        <w:rPr>
          <w:rFonts w:ascii="Times New Roman" w:hAnsi="Times New Roman" w:cs="Times New Roman"/>
          <w:i/>
          <w:iCs/>
          <w:sz w:val="22"/>
          <w:szCs w:val="22"/>
        </w:rPr>
        <w:t xml:space="preserve">, Piero Kotaro Dongo </w:t>
      </w:r>
      <w:r w:rsidR="00CC1CD4">
        <w:rPr>
          <w:rFonts w:ascii="Times New Roman" w:hAnsi="Times New Roman" w:cs="Times New Roman"/>
          <w:i/>
          <w:iCs/>
          <w:sz w:val="22"/>
          <w:szCs w:val="22"/>
        </w:rPr>
        <w:t>Villareal, ]</w:t>
      </w:r>
      <w:r>
        <w:rPr>
          <w:rFonts w:ascii="Times New Roman" w:hAnsi="Times New Roman" w:cs="Times New Roman"/>
          <w:i/>
          <w:iCs/>
          <w:sz w:val="22"/>
          <w:szCs w:val="22"/>
        </w:rPr>
        <w:t xml:space="preserve"> · [Sistemas Digitales y Arquitectura de Computadora] · [Universidad Nacional Federico Villarreal] · Lima, Perú</w:t>
      </w:r>
    </w:p>
    <w:p w14:paraId="031FCB8A" w14:textId="77777777" w:rsidR="00336A0B" w:rsidRDefault="00336A0B" w:rsidP="00336A0B">
      <w:r>
        <w:t xml:space="preserve"> </w:t>
      </w:r>
    </w:p>
    <w:p w14:paraId="7C3BB3AD" w14:textId="77777777" w:rsidR="00336A0B" w:rsidRDefault="00336A0B" w:rsidP="00336A0B">
      <w:pPr>
        <w:sectPr w:rsidR="00336A0B">
          <w:pgSz w:w="11906" w:h="16838"/>
          <w:pgMar w:top="1417" w:right="1701" w:bottom="1417" w:left="1701" w:header="708" w:footer="708" w:gutter="0"/>
          <w:cols w:space="708"/>
          <w:docGrid w:linePitch="360"/>
        </w:sectPr>
      </w:pPr>
    </w:p>
    <w:p w14:paraId="75D01644" w14:textId="77777777" w:rsidR="00336A0B" w:rsidRDefault="00336A0B" w:rsidP="006F718F">
      <w:pPr>
        <w:jc w:val="both"/>
        <w:rPr>
          <w:rFonts w:ascii="Times New Roman" w:hAnsi="Times New Roman" w:cs="Times New Roman"/>
        </w:rPr>
      </w:pPr>
      <w:r>
        <w:rPr>
          <w:rFonts w:ascii="Times New Roman" w:hAnsi="Times New Roman" w:cs="Times New Roman"/>
        </w:rPr>
        <w:t>Resumen</w:t>
      </w:r>
    </w:p>
    <w:p w14:paraId="4C1660A8" w14:textId="77777777" w:rsidR="00CF37CC" w:rsidRPr="00CF37CC" w:rsidRDefault="00CF37CC" w:rsidP="00CF37CC">
      <w:pPr>
        <w:jc w:val="both"/>
        <w:rPr>
          <w:rFonts w:ascii="Times New Roman" w:hAnsi="Times New Roman" w:cs="Times New Roman"/>
        </w:rPr>
      </w:pPr>
      <w:r>
        <w:rPr>
          <w:rFonts w:ascii="Times New Roman" w:hAnsi="Times New Roman" w:cs="Times New Roman"/>
        </w:rPr>
        <w:t>El presente trabajo describe el diseño, implementación preliminar y evaluación experimental de un sistema embebido de monitoreo térmico multizona orientado a la seguridad alimentaria en entornos gastronómicos, como restaurantes, cocinas industriales y almacenes de insumos. El sistema, basado en un ESP32, integra tres sensores DHT11 distribuidos en zonas con requerimientos térmicos distintos: cámara de refrigerados, almacén seco y línea de preparación, cada una con un umbral de alarma independiente, indicación visual local mediante LED, actuación de ventilación forzada y visualización rotativa en una pantalla LCD I2C. Se diseñó un experimento de 48 horas de monitoreo continuo para caracterizar el comportamiento térmico de cada zona, la tasa de error de lectura del sensor y la latencia de respuesta del sistema ante violaciones de umbral. Los resultados muestran una disponibilidad efectiva del sistema de aproximadamente 97.6%, una latencia promedio de detección-actuación de 2.20 s y patrones de riesgo térmico claramente diferenciados entre zonas, siendo la línea de preparación la de mayor frecuencia de alarmas. Se discute el impacto preliminar de la propuesta en la reducción de pérdidas de inventario e incidentes de inocuidad alimentaria, así como una proyección hacia una arquitectura IoT con análisis predictivo mediante inteligencia artificial.</w:t>
      </w:r>
    </w:p>
    <w:p w14:paraId="1AE0A89A" w14:textId="0D3F69E2" w:rsidR="00CF37CC" w:rsidRPr="00336A0B" w:rsidRDefault="00CF37CC" w:rsidP="006F718F">
      <w:pPr>
        <w:jc w:val="both"/>
        <w:rPr>
          <w:rFonts w:ascii="Times New Roman" w:hAnsi="Times New Roman" w:cs="Times New Roman"/>
        </w:rPr>
      </w:pPr>
      <w:r>
        <w:rPr>
          <w:rFonts w:ascii="Times New Roman" w:hAnsi="Times New Roman" w:cs="Times New Roman"/>
          <w:b/>
          <w:bCs/>
        </w:rPr>
        <w:t>Palabras clave —</w:t>
      </w:r>
      <w:r>
        <w:rPr>
          <w:rFonts w:ascii="Times New Roman" w:hAnsi="Times New Roman" w:cs="Times New Roman"/>
        </w:rPr>
        <w:t xml:space="preserve"> monitoreo multizona; seguridad alimentaria; ESP32; DHT11; sistemas embebidos; IoT.</w:t>
      </w:r>
    </w:p>
    <w:p w14:paraId="7DBAE287" w14:textId="790A7456" w:rsidR="00336A0B" w:rsidRPr="00336A0B" w:rsidRDefault="00336A0B" w:rsidP="006F718F">
      <w:pPr>
        <w:jc w:val="both"/>
        <w:rPr>
          <w:rFonts w:ascii="Times New Roman" w:hAnsi="Times New Roman" w:cs="Times New Roman"/>
        </w:rPr>
      </w:pPr>
      <w:r>
        <w:rPr>
          <w:rFonts w:ascii="Times New Roman" w:hAnsi="Times New Roman" w:cs="Times New Roman"/>
        </w:rPr>
        <w:t>I. INTRODUCCIÓN</w:t>
      </w:r>
    </w:p>
    <w:p w14:paraId="0591539A" w14:textId="77777777" w:rsidR="00336A0B" w:rsidRPr="00336A0B" w:rsidRDefault="00336A0B" w:rsidP="006F718F">
      <w:pPr>
        <w:jc w:val="both"/>
        <w:rPr>
          <w:rFonts w:ascii="Times New Roman" w:hAnsi="Times New Roman" w:cs="Times New Roman"/>
        </w:rPr>
      </w:pPr>
      <w:r>
        <w:rPr>
          <w:rFonts w:ascii="Times New Roman" w:hAnsi="Times New Roman" w:cs="Times New Roman"/>
        </w:rPr>
        <w:t>En entornos gastronómicos, el control térmico del almacenamiento de alimentos es un factor crítico de inocuidad: variaciones fuera de los rangos seguros en cámaras de refrigeración, almacenes secos o zonas de preparación pueden derivar en pérdida de inventario, proliferación bacteriana y, en última instancia, riesgos sanitarios para los consumidores. La normativa sanitaria de alimentos exige el control continuo de la cadena de frío, pero en pequeños y medianos negocios este control suele realizarse de forma manual y esporádica, lo que limita la capacidad de reacción ante desviaciones.</w:t>
      </w:r>
    </w:p>
    <w:p w14:paraId="3340E67B" w14:textId="77777777" w:rsidR="00336A0B" w:rsidRPr="00336A0B" w:rsidRDefault="00336A0B" w:rsidP="006F718F">
      <w:pPr>
        <w:jc w:val="both"/>
        <w:rPr>
          <w:rFonts w:ascii="Times New Roman" w:hAnsi="Times New Roman" w:cs="Times New Roman"/>
        </w:rPr>
      </w:pPr>
      <w:r>
        <w:rPr>
          <w:rFonts w:ascii="Times New Roman" w:hAnsi="Times New Roman" w:cs="Times New Roman"/>
        </w:rPr>
        <w:t>Este trabajo propone un sistema de monitoreo térmico multizona de bajo costo, basado en hardware abierto, capaz de vigilar simultáneamente varias zonas de almacenamiento con requerimientos térmicos distintos, emitir alertas locales inmediatas y activar de forma automática un mecanismo de mitigación (ventilación forzada) cuando se excede un umbral configurado por zona.</w:t>
      </w:r>
    </w:p>
    <w:p w14:paraId="5941A342" w14:textId="0FC2DAC8" w:rsidR="00336A0B" w:rsidRPr="00336A0B" w:rsidRDefault="00336A0B" w:rsidP="006F718F">
      <w:pPr>
        <w:jc w:val="both"/>
        <w:rPr>
          <w:rFonts w:ascii="Times New Roman" w:hAnsi="Times New Roman" w:cs="Times New Roman"/>
        </w:rPr>
      </w:pPr>
      <w:r>
        <w:rPr>
          <w:rFonts w:ascii="Times New Roman" w:hAnsi="Times New Roman" w:cs="Times New Roman"/>
        </w:rPr>
        <w:t xml:space="preserve">El objetivo del presente borrador es: (a) describir la arquitectura interna del sistema, (b) presentar resultados experimentales obtenidos mediante un protocolo de simulación de 48 horas que reproduce condiciones realistas de operación, y (c) </w:t>
      </w:r>
      <w:r>
        <w:rPr>
          <w:rFonts w:ascii="Times New Roman" w:hAnsi="Times New Roman" w:cs="Times New Roman"/>
        </w:rPr>
        <w:lastRenderedPageBreak/>
        <w:t>discutir el impacto preliminar y la proyección del sistema hacia una arquitectura IoT con capacidades de inteligencia artificial.</w:t>
      </w:r>
    </w:p>
    <w:p w14:paraId="7D2B3BC1" w14:textId="4CF37752" w:rsidR="00336A0B" w:rsidRPr="00336A0B" w:rsidRDefault="00336A0B" w:rsidP="006F718F">
      <w:pPr>
        <w:jc w:val="both"/>
        <w:rPr>
          <w:rFonts w:ascii="Times New Roman" w:hAnsi="Times New Roman" w:cs="Times New Roman"/>
        </w:rPr>
      </w:pPr>
      <w:r>
        <w:rPr>
          <w:rFonts w:ascii="Times New Roman" w:hAnsi="Times New Roman" w:cs="Times New Roman"/>
        </w:rPr>
        <w:t>II. DISEÑO DEL SISTEMA</w:t>
      </w:r>
    </w:p>
    <w:p w14:paraId="6666806B" w14:textId="4D54E574" w:rsidR="00336A0B" w:rsidRPr="00336A0B" w:rsidRDefault="00336A0B" w:rsidP="006F718F">
      <w:pPr>
        <w:jc w:val="both"/>
        <w:rPr>
          <w:rFonts w:ascii="Times New Roman" w:hAnsi="Times New Roman" w:cs="Times New Roman"/>
        </w:rPr>
      </w:pPr>
      <w:r>
        <w:rPr>
          <w:rFonts w:ascii="Times New Roman" w:hAnsi="Times New Roman" w:cs="Times New Roman"/>
        </w:rPr>
        <w:t>A.</w:t>
      </w:r>
      <w:r>
        <w:rPr>
          <w:rFonts w:ascii="Times New Roman" w:hAnsi="Times New Roman" w:cs="Times New Roman"/>
        </w:rPr>
        <w:tab/>
        <w:t>Arquitectura general</w:t>
      </w:r>
    </w:p>
    <w:p w14:paraId="54238FA5" w14:textId="7D9EC616" w:rsidR="00336A0B" w:rsidRPr="00336A0B" w:rsidRDefault="00336A0B" w:rsidP="006F718F">
      <w:pPr>
        <w:jc w:val="both"/>
        <w:rPr>
          <w:rFonts w:ascii="Times New Roman" w:hAnsi="Times New Roman" w:cs="Times New Roman"/>
        </w:rPr>
      </w:pPr>
      <w:r>
        <w:rPr>
          <w:rFonts w:ascii="Times New Roman" w:hAnsi="Times New Roman" w:cs="Times New Roman"/>
        </w:rPr>
        <w:t>El sistema parte de un prototipo de una sola zona —construido sobre un sensor DHT11, un par de LED indicadores y un ventilador accionado por un transistor TIP122— y se extiende a una arquitectura multizona apoyada en las capacidades de E/S y conectividad WiFi nativa del ESP32. Cada una de las tres zonas monitoreadas posee su propio sensor, par de LED y actuador de ventilación, mientras que una única pantalla LCD I2C muestra de forma rotativa el estado de cada zona cada ciclo de lectura.</w:t>
      </w:r>
    </w:p>
    <w:p w14:paraId="10BF0EB0" w14:textId="4F222690" w:rsidR="00336A0B" w:rsidRPr="00336A0B" w:rsidRDefault="00336A0B" w:rsidP="006F718F">
      <w:pPr>
        <w:jc w:val="both"/>
        <w:rPr>
          <w:rFonts w:ascii="Times New Roman" w:hAnsi="Times New Roman" w:cs="Times New Roman"/>
        </w:rPr>
      </w:pPr>
      <w:r>
        <w:rPr>
          <w:rFonts w:ascii="Times New Roman" w:hAnsi="Times New Roman" w:cs="Times New Roman"/>
        </w:rPr>
        <w:t>La lógica de control replica, por zona, la regla de decisión del prototipo original: si la temperatura medida supera el umbral configurado para esa zona, se enciende el LED rojo, se apaga el LED verde y se activa el ventilador; en caso contrario se mantiene el estado normal. La Tabla I resume los componentes utilizados.</w:t>
      </w:r>
    </w:p>
    <w:p w14:paraId="6CC2FECB" w14:textId="18B72AAA" w:rsidR="00336A0B" w:rsidRPr="00336A0B" w:rsidRDefault="00336A0B" w:rsidP="006F718F">
      <w:pPr>
        <w:jc w:val="both"/>
        <w:rPr>
          <w:rFonts w:ascii="Times New Roman" w:hAnsi="Times New Roman" w:cs="Times New Roman"/>
        </w:rPr>
      </w:pPr>
      <w:r>
        <w:rPr>
          <w:rFonts w:ascii="Times New Roman" w:hAnsi="Times New Roman" w:cs="Times New Roman"/>
        </w:rPr>
        <w:t>B.</w:t>
      </w:r>
      <w:r>
        <w:rPr>
          <w:rFonts w:ascii="Times New Roman" w:hAnsi="Times New Roman" w:cs="Times New Roman"/>
        </w:rPr>
        <w:tab/>
        <w:t>Definición de zonas y umbrales</w:t>
      </w:r>
    </w:p>
    <w:p w14:paraId="48E5C41C" w14:textId="211E0BCB" w:rsidR="00336A0B" w:rsidRPr="00336A0B" w:rsidRDefault="00336A0B" w:rsidP="006F718F">
      <w:pPr>
        <w:jc w:val="both"/>
        <w:rPr>
          <w:rFonts w:ascii="Times New Roman" w:hAnsi="Times New Roman" w:cs="Times New Roman"/>
        </w:rPr>
      </w:pPr>
      <w:r>
        <w:rPr>
          <w:rFonts w:ascii="Times New Roman" w:hAnsi="Times New Roman" w:cs="Times New Roman"/>
        </w:rPr>
        <w:t>Se definieron tres zonas representativas de un entorno gastronómico, cada una con un umbral de alarma propio, configurado como constante en el firmware:</w:t>
      </w:r>
    </w:p>
    <w:p w14:paraId="12A2DEF2" w14:textId="20A481DD" w:rsidR="00336A0B" w:rsidRPr="00336A0B" w:rsidRDefault="00336A0B" w:rsidP="006F718F">
      <w:pPr>
        <w:jc w:val="both"/>
        <w:rPr>
          <w:rFonts w:ascii="Times New Roman" w:hAnsi="Times New Roman" w:cs="Times New Roman"/>
        </w:rPr>
      </w:pPr>
      <w:r>
        <w:rPr>
          <w:rFonts w:ascii="Times New Roman" w:hAnsi="Times New Roman" w:cs="Times New Roman"/>
        </w:rPr>
        <w:t>Zona A — Cámara de refrigerados: umbral 8.0 °C (temperatura objetivo 2–6 °C).</w:t>
      </w:r>
    </w:p>
    <w:p w14:paraId="0D4FA350" w14:textId="77777777" w:rsidR="00336A0B" w:rsidRPr="00336A0B" w:rsidRDefault="00336A0B" w:rsidP="006F718F">
      <w:pPr>
        <w:jc w:val="both"/>
        <w:rPr>
          <w:rFonts w:ascii="Times New Roman" w:hAnsi="Times New Roman" w:cs="Times New Roman"/>
        </w:rPr>
      </w:pPr>
      <w:r>
        <w:rPr>
          <w:rFonts w:ascii="Times New Roman" w:hAnsi="Times New Roman" w:cs="Times New Roman"/>
        </w:rPr>
        <w:t>Zona B — Almacén seco: umbral 30.0 °C, heredado del prototipo original.</w:t>
      </w:r>
    </w:p>
    <w:p w14:paraId="79E0A1C0" w14:textId="6216B07C" w:rsidR="00336A0B" w:rsidRPr="00336A0B" w:rsidRDefault="00336A0B" w:rsidP="006F718F">
      <w:pPr>
        <w:jc w:val="both"/>
        <w:rPr>
          <w:rFonts w:ascii="Times New Roman" w:hAnsi="Times New Roman" w:cs="Times New Roman"/>
        </w:rPr>
      </w:pPr>
      <w:r>
        <w:rPr>
          <w:rFonts w:ascii="Times New Roman" w:hAnsi="Times New Roman" w:cs="Times New Roman"/>
        </w:rPr>
        <w:t>Zona C — Línea de preparación: umbral 35.0 °C, zona expuesta a fuentes de calor de cocina.</w:t>
      </w:r>
    </w:p>
    <w:p w14:paraId="50C97F90" w14:textId="2F222E3F" w:rsidR="00336A0B" w:rsidRPr="00336A0B" w:rsidRDefault="00336A0B" w:rsidP="006F718F">
      <w:pPr>
        <w:jc w:val="both"/>
        <w:rPr>
          <w:rFonts w:ascii="Times New Roman" w:hAnsi="Times New Roman" w:cs="Times New Roman"/>
        </w:rPr>
      </w:pPr>
      <w:r>
        <w:rPr>
          <w:rFonts w:ascii="Times New Roman" w:hAnsi="Times New Roman" w:cs="Times New Roman"/>
        </w:rPr>
        <w:t xml:space="preserve">Esta segmentación permite aplicar criterios de alarma diferenciados por tipo de almacenamiento, </w:t>
      </w:r>
      <w:r>
        <w:rPr>
          <w:rFonts w:ascii="Times New Roman" w:hAnsi="Times New Roman" w:cs="Times New Roman"/>
        </w:rPr>
        <w:t>en lugar de un único umbral global, lo cual constituye la principal extensión funcional respecto del prototipo de una sola zona</w:t>
      </w:r>
    </w:p>
    <w:p w14:paraId="071C5D1C" w14:textId="19D45C60" w:rsidR="00336A0B" w:rsidRPr="00336A0B" w:rsidRDefault="00336A0B" w:rsidP="006F718F">
      <w:pPr>
        <w:jc w:val="both"/>
        <w:rPr>
          <w:rFonts w:ascii="Times New Roman" w:hAnsi="Times New Roman" w:cs="Times New Roman"/>
        </w:rPr>
      </w:pPr>
      <w:r>
        <w:rPr>
          <w:rFonts w:ascii="Times New Roman" w:hAnsi="Times New Roman" w:cs="Times New Roman"/>
        </w:rPr>
        <w:t>C.</w:t>
      </w:r>
      <w:r>
        <w:rPr>
          <w:rFonts w:ascii="Times New Roman" w:hAnsi="Times New Roman" w:cs="Times New Roman"/>
        </w:rPr>
        <w:tab/>
        <w:t>Limitaciones del sensor DHT11</w:t>
      </w:r>
    </w:p>
    <w:p w14:paraId="58F8E1B6" w14:textId="1A1B067B" w:rsidR="00336A0B" w:rsidRPr="00336A0B" w:rsidRDefault="00336A0B" w:rsidP="006F718F">
      <w:pPr>
        <w:jc w:val="both"/>
        <w:rPr>
          <w:rFonts w:ascii="Times New Roman" w:hAnsi="Times New Roman" w:cs="Times New Roman"/>
        </w:rPr>
      </w:pPr>
      <w:r>
        <w:rPr>
          <w:rFonts w:ascii="Times New Roman" w:hAnsi="Times New Roman" w:cs="Times New Roman"/>
        </w:rPr>
        <w:t>El DHT11 posee un rango de operación de 0–50 °C con una resolución de ±2 °C y una tasa de muestreo máxima de aproximadamente 1 Hz (de allí el delay(2000) obligatorio en el ciclo de lectura). Esto es adecuado para las tres zonas definidas, pero no sería apto para una cámara de congelados (temperaturas bajo cero), limitación que se discute en la Sección VI.</w:t>
      </w:r>
    </w:p>
    <w:p w14:paraId="67FDFC7D" w14:textId="45EC6CE9" w:rsidR="00336A0B" w:rsidRPr="00336A0B" w:rsidRDefault="00336A0B" w:rsidP="006F718F">
      <w:pPr>
        <w:jc w:val="both"/>
        <w:rPr>
          <w:rFonts w:ascii="Times New Roman" w:hAnsi="Times New Roman" w:cs="Times New Roman"/>
        </w:rPr>
      </w:pPr>
      <w:r>
        <w:rPr>
          <w:rFonts w:ascii="Times New Roman" w:hAnsi="Times New Roman" w:cs="Times New Roman"/>
        </w:rPr>
        <w:t>III. METODOLOGÍA EXPERIMENTAL</w:t>
      </w:r>
    </w:p>
    <w:p w14:paraId="58518A4D" w14:textId="33355902" w:rsidR="00336A0B" w:rsidRPr="00336A0B" w:rsidRDefault="00336A0B" w:rsidP="006F718F">
      <w:pPr>
        <w:jc w:val="both"/>
        <w:rPr>
          <w:rFonts w:ascii="Times New Roman" w:hAnsi="Times New Roman" w:cs="Times New Roman"/>
        </w:rPr>
      </w:pPr>
      <w:r>
        <w:rPr>
          <w:rFonts w:ascii="Times New Roman" w:hAnsi="Times New Roman" w:cs="Times New Roman"/>
        </w:rPr>
        <w:t>Dado que el sistema se encuentra en fase de prototipo, se diseñó un experimento de simulación de 48 horas para caracterizar su comportamiento bajo condiciones representativas de operación, con muestreo cada 5 minutos por zona (576 muestras por zona, 1728 en total). El modelo de simulación incorpora: (i) un patrón térmico diario tipo senoidal para representar el ciclo día/noche o el uso normal de cada zona; (</w:t>
      </w:r>
      <w:proofErr w:type="spellStart"/>
      <w:r>
        <w:rPr>
          <w:rFonts w:ascii="Times New Roman" w:hAnsi="Times New Roman" w:cs="Times New Roman"/>
        </w:rPr>
        <w:t>ii</w:t>
      </w:r>
      <w:proofErr w:type="spellEnd"/>
      <w:r>
        <w:rPr>
          <w:rFonts w:ascii="Times New Roman" w:hAnsi="Times New Roman" w:cs="Times New Roman"/>
        </w:rPr>
        <w:t>) ruido gaussiano para representar la variabilidad propia del sensor y del ambiente; (</w:t>
      </w:r>
      <w:proofErr w:type="spellStart"/>
      <w:r>
        <w:rPr>
          <w:rFonts w:ascii="Times New Roman" w:hAnsi="Times New Roman" w:cs="Times New Roman"/>
        </w:rPr>
        <w:t>iii</w:t>
      </w:r>
      <w:proofErr w:type="spellEnd"/>
      <w:r>
        <w:rPr>
          <w:rFonts w:ascii="Times New Roman" w:hAnsi="Times New Roman" w:cs="Times New Roman"/>
        </w:rPr>
        <w:t>) eventos transitorios aleatorios —apertura de puertas en la cámara de refrigerados, picos de cocción en la línea de preparación— que elevan temporalmente la temperatura; y (</w:t>
      </w:r>
      <w:proofErr w:type="spellStart"/>
      <w:r>
        <w:rPr>
          <w:rFonts w:ascii="Times New Roman" w:hAnsi="Times New Roman" w:cs="Times New Roman"/>
        </w:rPr>
        <w:t>iv</w:t>
      </w:r>
      <w:proofErr w:type="spellEnd"/>
      <w:r>
        <w:rPr>
          <w:rFonts w:ascii="Times New Roman" w:hAnsi="Times New Roman" w:cs="Times New Roman"/>
        </w:rPr>
        <w:t>) una tasa de fallo de lectura del sensor de aproximadamente 2–3%, consistente con reportes de uso del DHT11 en campo.</w:t>
      </w:r>
    </w:p>
    <w:p w14:paraId="4B3397B8" w14:textId="77777777" w:rsidR="00336A0B" w:rsidRDefault="00336A0B" w:rsidP="006F718F">
      <w:pPr>
        <w:jc w:val="both"/>
        <w:rPr>
          <w:rFonts w:ascii="Times New Roman" w:hAnsi="Times New Roman" w:cs="Times New Roman"/>
        </w:rPr>
      </w:pPr>
      <w:r>
        <w:rPr>
          <w:rFonts w:ascii="Times New Roman" w:hAnsi="Times New Roman" w:cs="Times New Roman"/>
        </w:rPr>
        <w:t xml:space="preserve">Para cada muestra se evaluó si la temperatura superaba el umbral de la zona, registrando el evento de alarma y la activación del ventilador. La latencia de detección–actuación se modeló a partir del tiempo de ciclo fijo del firmware (delay(2000) ms) más una variabilidad de procesamiento, generando una distribución de latencias por evento de alarma. </w:t>
      </w:r>
    </w:p>
    <w:p w14:paraId="2EA7FFEF" w14:textId="77777777" w:rsidR="00BA312F" w:rsidRPr="00336A0B" w:rsidRDefault="00BA312F" w:rsidP="006F718F">
      <w:pPr>
        <w:jc w:val="both"/>
        <w:rPr>
          <w:rFonts w:ascii="Times New Roman" w:hAnsi="Times New Roman" w:cs="Times New Roman"/>
        </w:rPr>
      </w:pPr>
    </w:p>
    <w:p w14:paraId="4500090E" w14:textId="1B7D5D8A" w:rsidR="00336A0B" w:rsidRPr="00336A0B" w:rsidRDefault="00336A0B" w:rsidP="006F718F">
      <w:pPr>
        <w:jc w:val="both"/>
        <w:rPr>
          <w:rFonts w:ascii="Times New Roman" w:hAnsi="Times New Roman" w:cs="Times New Roman"/>
        </w:rPr>
      </w:pPr>
      <w:r>
        <w:rPr>
          <w:rFonts w:ascii="Times New Roman" w:hAnsi="Times New Roman" w:cs="Times New Roman"/>
        </w:rPr>
        <w:t>IV. RESULTADOS EXPERIMENTALES</w:t>
      </w:r>
    </w:p>
    <w:p w14:paraId="27DC9338" w14:textId="6B0EA304" w:rsidR="006F718F" w:rsidRPr="00336A0B" w:rsidRDefault="00336A0B" w:rsidP="006F718F">
      <w:pPr>
        <w:jc w:val="both"/>
        <w:rPr>
          <w:rFonts w:ascii="Times New Roman" w:hAnsi="Times New Roman" w:cs="Times New Roman"/>
        </w:rPr>
      </w:pPr>
      <w:r>
        <w:rPr>
          <w:rFonts w:ascii="Times New Roman" w:hAnsi="Times New Roman" w:cs="Times New Roman"/>
        </w:rPr>
        <w:t>La Tabla I presenta los componentes de hardware utilizados en el prototipo multizona.</w:t>
      </w:r>
    </w:p>
    <w:tbl>
      <w:tblPr>
        <w:tblStyle w:val="Tablaconcuadrcula"/>
        <w:tblW w:w="0" w:type="auto"/>
        <w:tblLook w:val="04A0" w:firstRow="1" w:lastRow="0" w:firstColumn="1" w:lastColumn="0" w:noHBand="0" w:noVBand="1"/>
      </w:tblPr>
      <w:tblGrid>
        <w:gridCol w:w="1269"/>
        <w:gridCol w:w="866"/>
        <w:gridCol w:w="2643"/>
      </w:tblGrid>
      <w:tr w:rsidR="006F718F" w14:paraId="11E61615" w14:textId="77777777" w:rsidTr="00CF2A70">
        <w:tc>
          <w:tcPr>
            <w:tcW w:w="1269" w:type="dxa"/>
            <w:shd w:val="clear" w:color="auto" w:fill="DAE9F7" w:themeFill="text2" w:themeFillTint="1A"/>
          </w:tcPr>
          <w:p w14:paraId="73DD44E8" w14:textId="6CD51230" w:rsidR="006F718F" w:rsidRPr="00982D3E" w:rsidRDefault="006F718F" w:rsidP="006F718F">
            <w:pPr>
              <w:jc w:val="center"/>
              <w:rPr>
                <w:rFonts w:ascii="Times New Roman" w:hAnsi="Times New Roman" w:cs="Times New Roman"/>
                <w:sz w:val="18"/>
                <w:szCs w:val="18"/>
              </w:rPr>
            </w:pPr>
            <w:r>
              <w:rPr>
                <w:rFonts w:ascii="Times New Roman" w:hAnsi="Times New Roman" w:cs="Times New Roman"/>
                <w:sz w:val="18"/>
                <w:szCs w:val="18"/>
              </w:rPr>
              <w:t>Componente</w:t>
            </w:r>
          </w:p>
        </w:tc>
        <w:tc>
          <w:tcPr>
            <w:tcW w:w="866" w:type="dxa"/>
            <w:shd w:val="clear" w:color="auto" w:fill="DAE9F7" w:themeFill="text2" w:themeFillTint="1A"/>
          </w:tcPr>
          <w:p w14:paraId="0AA96ED2" w14:textId="2D8F6738" w:rsidR="006F718F" w:rsidRPr="00982D3E" w:rsidRDefault="006F718F" w:rsidP="006F718F">
            <w:pPr>
              <w:jc w:val="center"/>
              <w:rPr>
                <w:rFonts w:ascii="Times New Roman" w:hAnsi="Times New Roman" w:cs="Times New Roman"/>
                <w:sz w:val="18"/>
                <w:szCs w:val="18"/>
              </w:rPr>
            </w:pPr>
            <w:r>
              <w:rPr>
                <w:rFonts w:ascii="Times New Roman" w:hAnsi="Times New Roman" w:cs="Times New Roman"/>
                <w:sz w:val="18"/>
                <w:szCs w:val="18"/>
              </w:rPr>
              <w:t>Cantidad</w:t>
            </w:r>
          </w:p>
        </w:tc>
        <w:tc>
          <w:tcPr>
            <w:tcW w:w="2643" w:type="dxa"/>
            <w:shd w:val="clear" w:color="auto" w:fill="DAE9F7" w:themeFill="text2" w:themeFillTint="1A"/>
          </w:tcPr>
          <w:p w14:paraId="27A16E79" w14:textId="77777777" w:rsidR="006F718F" w:rsidRPr="00982D3E" w:rsidRDefault="006F718F" w:rsidP="006F718F">
            <w:pPr>
              <w:jc w:val="center"/>
              <w:rPr>
                <w:rFonts w:ascii="Times New Roman" w:hAnsi="Times New Roman" w:cs="Times New Roman"/>
                <w:sz w:val="18"/>
                <w:szCs w:val="18"/>
              </w:rPr>
            </w:pPr>
            <w:r>
              <w:rPr>
                <w:rFonts w:ascii="Times New Roman" w:hAnsi="Times New Roman" w:cs="Times New Roman"/>
                <w:sz w:val="18"/>
                <w:szCs w:val="18"/>
              </w:rPr>
              <w:t>Función en el sistema</w:t>
            </w:r>
          </w:p>
          <w:p w14:paraId="210D2F8E" w14:textId="77777777" w:rsidR="006F718F" w:rsidRPr="00982D3E" w:rsidRDefault="006F718F" w:rsidP="006F718F">
            <w:pPr>
              <w:jc w:val="center"/>
              <w:rPr>
                <w:rFonts w:ascii="Times New Roman" w:hAnsi="Times New Roman" w:cs="Times New Roman"/>
                <w:sz w:val="18"/>
                <w:szCs w:val="18"/>
              </w:rPr>
            </w:pPr>
          </w:p>
        </w:tc>
      </w:tr>
      <w:tr w:rsidR="006F718F" w14:paraId="5C083E3E" w14:textId="77777777" w:rsidTr="00CF2A70">
        <w:tc>
          <w:tcPr>
            <w:tcW w:w="1269" w:type="dxa"/>
            <w:vAlign w:val="center"/>
          </w:tcPr>
          <w:p w14:paraId="42E9DFA6" w14:textId="72B72598" w:rsidR="006F718F" w:rsidRPr="00982D3E" w:rsidRDefault="00CF2A70" w:rsidP="006F718F">
            <w:pPr>
              <w:jc w:val="both"/>
              <w:rPr>
                <w:rFonts w:ascii="Times New Roman" w:hAnsi="Times New Roman" w:cs="Times New Roman"/>
                <w:sz w:val="18"/>
                <w:szCs w:val="18"/>
              </w:rPr>
            </w:pPr>
            <w:r>
              <w:rPr>
                <w:rFonts w:ascii="Times New Roman" w:hAnsi="Times New Roman" w:cs="Times New Roman"/>
                <w:sz w:val="18"/>
                <w:szCs w:val="18"/>
              </w:rPr>
              <w:t>ESP 32</w:t>
            </w:r>
          </w:p>
        </w:tc>
        <w:tc>
          <w:tcPr>
            <w:tcW w:w="866" w:type="dxa"/>
          </w:tcPr>
          <w:p w14:paraId="2135A9BD" w14:textId="5B801758" w:rsidR="006F718F" w:rsidRPr="00982D3E" w:rsidRDefault="006F718F" w:rsidP="006F718F">
            <w:pPr>
              <w:jc w:val="both"/>
              <w:rPr>
                <w:rFonts w:ascii="Times New Roman" w:hAnsi="Times New Roman" w:cs="Times New Roman"/>
                <w:sz w:val="18"/>
                <w:szCs w:val="18"/>
              </w:rPr>
            </w:pPr>
            <w:r>
              <w:rPr>
                <w:rFonts w:ascii="Times New Roman" w:hAnsi="Times New Roman" w:cs="Times New Roman"/>
                <w:sz w:val="18"/>
                <w:szCs w:val="18"/>
              </w:rPr>
              <w:t>1</w:t>
            </w:r>
          </w:p>
        </w:tc>
        <w:tc>
          <w:tcPr>
            <w:tcW w:w="2643" w:type="dxa"/>
            <w:vAlign w:val="center"/>
          </w:tcPr>
          <w:p w14:paraId="22BD879C" w14:textId="6C10BA09" w:rsidR="006F718F" w:rsidRPr="00982D3E" w:rsidRDefault="006F718F" w:rsidP="006F718F">
            <w:pPr>
              <w:jc w:val="both"/>
              <w:rPr>
                <w:rFonts w:ascii="Times New Roman" w:hAnsi="Times New Roman" w:cs="Times New Roman"/>
                <w:sz w:val="18"/>
                <w:szCs w:val="18"/>
              </w:rPr>
            </w:pPr>
            <w:r>
              <w:rPr>
                <w:rFonts w:ascii="Times New Roman" w:hAnsi="Times New Roman" w:cs="Times New Roman"/>
                <w:sz w:val="18"/>
                <w:szCs w:val="18"/>
              </w:rPr>
              <w:t>Controlador central; lectura de 3 sensores y control de 3 zonas de actuación</w:t>
            </w:r>
          </w:p>
        </w:tc>
      </w:tr>
      <w:tr w:rsidR="006F718F" w14:paraId="4DFB28DB" w14:textId="77777777" w:rsidTr="00CF2A70">
        <w:tc>
          <w:tcPr>
            <w:tcW w:w="1269" w:type="dxa"/>
            <w:vAlign w:val="center"/>
          </w:tcPr>
          <w:p w14:paraId="4348B0CE" w14:textId="028D974D" w:rsidR="006F718F" w:rsidRPr="00982D3E" w:rsidRDefault="006F718F" w:rsidP="006F718F">
            <w:pPr>
              <w:jc w:val="both"/>
              <w:rPr>
                <w:rFonts w:ascii="Times New Roman" w:hAnsi="Times New Roman" w:cs="Times New Roman"/>
                <w:sz w:val="18"/>
                <w:szCs w:val="18"/>
              </w:rPr>
            </w:pPr>
            <w:r>
              <w:rPr>
                <w:rFonts w:ascii="Times New Roman" w:hAnsi="Times New Roman" w:cs="Times New Roman"/>
                <w:sz w:val="18"/>
                <w:szCs w:val="18"/>
              </w:rPr>
              <w:t>Sensor DHT11 (</w:t>
            </w:r>
            <w:proofErr w:type="spellStart"/>
            <w:r>
              <w:rPr>
                <w:rFonts w:ascii="Times New Roman" w:hAnsi="Times New Roman" w:cs="Times New Roman"/>
                <w:sz w:val="18"/>
                <w:szCs w:val="18"/>
              </w:rPr>
              <w:t>T°</w:t>
            </w:r>
            <w:proofErr w:type="spellEnd"/>
            <w:r>
              <w:rPr>
                <w:rFonts w:ascii="Times New Roman" w:hAnsi="Times New Roman" w:cs="Times New Roman"/>
                <w:sz w:val="18"/>
                <w:szCs w:val="18"/>
              </w:rPr>
              <w:t xml:space="preserve"> / Hum.)</w:t>
            </w:r>
          </w:p>
        </w:tc>
        <w:tc>
          <w:tcPr>
            <w:tcW w:w="866" w:type="dxa"/>
          </w:tcPr>
          <w:p w14:paraId="56B3B855" w14:textId="5C0C700C" w:rsidR="006F718F" w:rsidRPr="00982D3E" w:rsidRDefault="006F718F" w:rsidP="006F718F">
            <w:pPr>
              <w:jc w:val="both"/>
              <w:rPr>
                <w:rFonts w:ascii="Times New Roman" w:hAnsi="Times New Roman" w:cs="Times New Roman"/>
                <w:sz w:val="18"/>
                <w:szCs w:val="18"/>
              </w:rPr>
            </w:pPr>
            <w:r>
              <w:rPr>
                <w:rFonts w:ascii="Times New Roman" w:hAnsi="Times New Roman" w:cs="Times New Roman"/>
                <w:sz w:val="18"/>
                <w:szCs w:val="18"/>
              </w:rPr>
              <w:t>3</w:t>
            </w:r>
          </w:p>
        </w:tc>
        <w:tc>
          <w:tcPr>
            <w:tcW w:w="2643" w:type="dxa"/>
            <w:vAlign w:val="center"/>
          </w:tcPr>
          <w:p w14:paraId="47B38B7E" w14:textId="25C6E3AC" w:rsidR="006F718F" w:rsidRPr="00982D3E" w:rsidRDefault="006F718F" w:rsidP="006F718F">
            <w:pPr>
              <w:jc w:val="both"/>
              <w:rPr>
                <w:rFonts w:ascii="Times New Roman" w:hAnsi="Times New Roman" w:cs="Times New Roman"/>
                <w:sz w:val="18"/>
                <w:szCs w:val="18"/>
              </w:rPr>
            </w:pPr>
            <w:r>
              <w:rPr>
                <w:rFonts w:ascii="Times New Roman" w:hAnsi="Times New Roman" w:cs="Times New Roman"/>
                <w:sz w:val="18"/>
                <w:szCs w:val="18"/>
              </w:rPr>
              <w:t>Medición de temperatura y humedad relativa, una por zona</w:t>
            </w:r>
          </w:p>
        </w:tc>
      </w:tr>
      <w:tr w:rsidR="006F718F" w14:paraId="163CF16D" w14:textId="77777777" w:rsidTr="00CF2A70">
        <w:tc>
          <w:tcPr>
            <w:tcW w:w="1269" w:type="dxa"/>
            <w:vAlign w:val="center"/>
          </w:tcPr>
          <w:p w14:paraId="375B295C" w14:textId="3628B58E" w:rsidR="006F718F" w:rsidRPr="00982D3E" w:rsidRDefault="006F718F" w:rsidP="006F718F">
            <w:pPr>
              <w:jc w:val="both"/>
              <w:rPr>
                <w:rFonts w:ascii="Times New Roman" w:hAnsi="Times New Roman" w:cs="Times New Roman"/>
                <w:sz w:val="18"/>
                <w:szCs w:val="18"/>
              </w:rPr>
            </w:pPr>
            <w:r>
              <w:rPr>
                <w:rFonts w:ascii="Times New Roman" w:hAnsi="Times New Roman" w:cs="Times New Roman"/>
                <w:sz w:val="18"/>
                <w:szCs w:val="18"/>
              </w:rPr>
              <w:t>LED verde / LED rojo</w:t>
            </w:r>
          </w:p>
        </w:tc>
        <w:tc>
          <w:tcPr>
            <w:tcW w:w="866" w:type="dxa"/>
          </w:tcPr>
          <w:p w14:paraId="3F4E730E" w14:textId="2E7A809C" w:rsidR="006F718F" w:rsidRPr="00982D3E" w:rsidRDefault="006F718F" w:rsidP="006F718F">
            <w:pPr>
              <w:jc w:val="both"/>
              <w:rPr>
                <w:rFonts w:ascii="Times New Roman" w:hAnsi="Times New Roman" w:cs="Times New Roman"/>
                <w:sz w:val="18"/>
                <w:szCs w:val="18"/>
              </w:rPr>
            </w:pPr>
            <w:r>
              <w:rPr>
                <w:rFonts w:ascii="Times New Roman" w:hAnsi="Times New Roman" w:cs="Times New Roman"/>
                <w:sz w:val="18"/>
                <w:szCs w:val="18"/>
              </w:rPr>
              <w:t>3 + 3</w:t>
            </w:r>
          </w:p>
        </w:tc>
        <w:tc>
          <w:tcPr>
            <w:tcW w:w="2643" w:type="dxa"/>
            <w:vAlign w:val="center"/>
          </w:tcPr>
          <w:p w14:paraId="3FA0C89C" w14:textId="718C7D32" w:rsidR="006F718F" w:rsidRPr="00982D3E" w:rsidRDefault="006F718F" w:rsidP="006F718F">
            <w:pPr>
              <w:jc w:val="both"/>
              <w:rPr>
                <w:rFonts w:ascii="Times New Roman" w:hAnsi="Times New Roman" w:cs="Times New Roman"/>
                <w:sz w:val="18"/>
                <w:szCs w:val="18"/>
              </w:rPr>
            </w:pPr>
            <w:r>
              <w:rPr>
                <w:rFonts w:ascii="Times New Roman" w:hAnsi="Times New Roman" w:cs="Times New Roman"/>
                <w:sz w:val="18"/>
                <w:szCs w:val="18"/>
              </w:rPr>
              <w:t>Indicación visual local del estado (normal / alarma) por zona</w:t>
            </w:r>
          </w:p>
        </w:tc>
      </w:tr>
      <w:tr w:rsidR="006F718F" w14:paraId="48135B14" w14:textId="77777777" w:rsidTr="00CF2A70">
        <w:tc>
          <w:tcPr>
            <w:tcW w:w="1269" w:type="dxa"/>
            <w:vAlign w:val="center"/>
          </w:tcPr>
          <w:p w14:paraId="3B069387" w14:textId="0A6244E0" w:rsidR="006F718F" w:rsidRPr="00982D3E" w:rsidRDefault="006F718F" w:rsidP="006F718F">
            <w:pPr>
              <w:jc w:val="both"/>
              <w:rPr>
                <w:rFonts w:ascii="Times New Roman" w:hAnsi="Times New Roman" w:cs="Times New Roman"/>
                <w:sz w:val="18"/>
                <w:szCs w:val="18"/>
              </w:rPr>
            </w:pPr>
            <w:r>
              <w:rPr>
                <w:rFonts w:ascii="Times New Roman" w:hAnsi="Times New Roman" w:cs="Times New Roman"/>
                <w:sz w:val="18"/>
                <w:szCs w:val="18"/>
              </w:rPr>
              <w:t>Transistor TIP122 + ventilador</w:t>
            </w:r>
          </w:p>
        </w:tc>
        <w:tc>
          <w:tcPr>
            <w:tcW w:w="866" w:type="dxa"/>
          </w:tcPr>
          <w:p w14:paraId="06566CFA" w14:textId="2CA4A7A1" w:rsidR="006F718F" w:rsidRPr="00982D3E" w:rsidRDefault="006F718F" w:rsidP="006F718F">
            <w:pPr>
              <w:jc w:val="both"/>
              <w:rPr>
                <w:rFonts w:ascii="Times New Roman" w:hAnsi="Times New Roman" w:cs="Times New Roman"/>
                <w:sz w:val="18"/>
                <w:szCs w:val="18"/>
              </w:rPr>
            </w:pPr>
            <w:r>
              <w:rPr>
                <w:rFonts w:ascii="Times New Roman" w:hAnsi="Times New Roman" w:cs="Times New Roman"/>
                <w:sz w:val="18"/>
                <w:szCs w:val="18"/>
              </w:rPr>
              <w:t>3</w:t>
            </w:r>
          </w:p>
        </w:tc>
        <w:tc>
          <w:tcPr>
            <w:tcW w:w="2643" w:type="dxa"/>
            <w:vAlign w:val="center"/>
          </w:tcPr>
          <w:p w14:paraId="3C9F5883" w14:textId="44907BC0" w:rsidR="006F718F" w:rsidRPr="00982D3E" w:rsidRDefault="006F718F" w:rsidP="006F718F">
            <w:pPr>
              <w:jc w:val="both"/>
              <w:rPr>
                <w:rFonts w:ascii="Times New Roman" w:hAnsi="Times New Roman" w:cs="Times New Roman"/>
                <w:sz w:val="18"/>
                <w:szCs w:val="18"/>
              </w:rPr>
            </w:pPr>
            <w:r>
              <w:rPr>
                <w:rFonts w:ascii="Times New Roman" w:hAnsi="Times New Roman" w:cs="Times New Roman"/>
                <w:sz w:val="18"/>
                <w:szCs w:val="18"/>
              </w:rPr>
              <w:t>Actuador de ventilación forzada activado ante umbral excedido</w:t>
            </w:r>
          </w:p>
        </w:tc>
      </w:tr>
      <w:tr w:rsidR="006F718F" w14:paraId="56356294" w14:textId="77777777" w:rsidTr="00CF2A70">
        <w:tc>
          <w:tcPr>
            <w:tcW w:w="1269" w:type="dxa"/>
            <w:vAlign w:val="center"/>
          </w:tcPr>
          <w:p w14:paraId="2999DEAA" w14:textId="5E69308D" w:rsidR="006F718F" w:rsidRPr="00982D3E" w:rsidRDefault="006F718F" w:rsidP="006F718F">
            <w:pPr>
              <w:jc w:val="both"/>
              <w:rPr>
                <w:rFonts w:ascii="Times New Roman" w:hAnsi="Times New Roman" w:cs="Times New Roman"/>
                <w:sz w:val="18"/>
                <w:szCs w:val="18"/>
              </w:rPr>
            </w:pPr>
            <w:r>
              <w:rPr>
                <w:rFonts w:ascii="Times New Roman" w:hAnsi="Times New Roman" w:cs="Times New Roman"/>
                <w:sz w:val="18"/>
                <w:szCs w:val="18"/>
              </w:rPr>
              <w:t>Pantalla LCD I2C 16x2</w:t>
            </w:r>
          </w:p>
        </w:tc>
        <w:tc>
          <w:tcPr>
            <w:tcW w:w="866" w:type="dxa"/>
          </w:tcPr>
          <w:p w14:paraId="0EFFF5C7" w14:textId="43BFA5DA" w:rsidR="006F718F" w:rsidRPr="00982D3E" w:rsidRDefault="006F718F" w:rsidP="006F718F">
            <w:pPr>
              <w:jc w:val="both"/>
              <w:rPr>
                <w:rFonts w:ascii="Times New Roman" w:hAnsi="Times New Roman" w:cs="Times New Roman"/>
                <w:sz w:val="18"/>
                <w:szCs w:val="18"/>
              </w:rPr>
            </w:pPr>
            <w:r>
              <w:rPr>
                <w:rFonts w:ascii="Times New Roman" w:hAnsi="Times New Roman" w:cs="Times New Roman"/>
                <w:sz w:val="18"/>
                <w:szCs w:val="18"/>
              </w:rPr>
              <w:t>1</w:t>
            </w:r>
          </w:p>
        </w:tc>
        <w:tc>
          <w:tcPr>
            <w:tcW w:w="2643" w:type="dxa"/>
            <w:vAlign w:val="center"/>
          </w:tcPr>
          <w:p w14:paraId="0C849ADA" w14:textId="0E761E74" w:rsidR="006F718F" w:rsidRPr="00982D3E" w:rsidRDefault="006F718F" w:rsidP="006F718F">
            <w:pPr>
              <w:jc w:val="both"/>
              <w:rPr>
                <w:rFonts w:ascii="Times New Roman" w:hAnsi="Times New Roman" w:cs="Times New Roman"/>
                <w:sz w:val="18"/>
                <w:szCs w:val="18"/>
              </w:rPr>
            </w:pPr>
            <w:r>
              <w:rPr>
                <w:rFonts w:ascii="Times New Roman" w:hAnsi="Times New Roman" w:cs="Times New Roman"/>
                <w:sz w:val="18"/>
                <w:szCs w:val="18"/>
              </w:rPr>
              <w:t>Visualización rotativa de temperatura/humedad de cada zona</w:t>
            </w:r>
          </w:p>
        </w:tc>
      </w:tr>
      <w:tr w:rsidR="006F718F" w14:paraId="59DFCB50" w14:textId="77777777" w:rsidTr="00CF2A70">
        <w:tc>
          <w:tcPr>
            <w:tcW w:w="1269" w:type="dxa"/>
            <w:vAlign w:val="center"/>
          </w:tcPr>
          <w:p w14:paraId="4724BDDA" w14:textId="7C080A4D" w:rsidR="006F718F" w:rsidRPr="00982D3E" w:rsidRDefault="006F718F" w:rsidP="006F718F">
            <w:pPr>
              <w:jc w:val="both"/>
              <w:rPr>
                <w:rFonts w:ascii="Times New Roman" w:hAnsi="Times New Roman" w:cs="Times New Roman"/>
                <w:sz w:val="18"/>
                <w:szCs w:val="18"/>
              </w:rPr>
            </w:pPr>
            <w:r>
              <w:rPr>
                <w:rFonts w:ascii="Times New Roman" w:hAnsi="Times New Roman" w:cs="Times New Roman"/>
                <w:sz w:val="18"/>
                <w:szCs w:val="18"/>
              </w:rPr>
              <w:t xml:space="preserve">Resistencias, cables, </w:t>
            </w:r>
            <w:proofErr w:type="spellStart"/>
            <w:r>
              <w:rPr>
                <w:rFonts w:ascii="Times New Roman" w:hAnsi="Times New Roman" w:cs="Times New Roman"/>
                <w:sz w:val="18"/>
                <w:szCs w:val="18"/>
              </w:rPr>
              <w:t>protoboard</w:t>
            </w:r>
            <w:proofErr w:type="spellEnd"/>
          </w:p>
        </w:tc>
        <w:tc>
          <w:tcPr>
            <w:tcW w:w="866" w:type="dxa"/>
          </w:tcPr>
          <w:p w14:paraId="67942B09" w14:textId="381E43A1" w:rsidR="006F718F" w:rsidRPr="00982D3E" w:rsidRDefault="006F718F" w:rsidP="006F718F">
            <w:pPr>
              <w:jc w:val="both"/>
              <w:rPr>
                <w:rFonts w:ascii="Times New Roman" w:hAnsi="Times New Roman" w:cs="Times New Roman"/>
                <w:sz w:val="18"/>
                <w:szCs w:val="18"/>
              </w:rPr>
            </w:pPr>
            <w:r>
              <w:rPr>
                <w:rFonts w:ascii="Times New Roman" w:hAnsi="Times New Roman" w:cs="Times New Roman"/>
                <w:sz w:val="18"/>
                <w:szCs w:val="18"/>
              </w:rPr>
              <w:t>-</w:t>
            </w:r>
          </w:p>
        </w:tc>
        <w:tc>
          <w:tcPr>
            <w:tcW w:w="2643" w:type="dxa"/>
            <w:vAlign w:val="center"/>
          </w:tcPr>
          <w:p w14:paraId="3A43E61D" w14:textId="3E1EE5BA" w:rsidR="006F718F" w:rsidRPr="00982D3E" w:rsidRDefault="006F718F" w:rsidP="006F718F">
            <w:pPr>
              <w:jc w:val="both"/>
              <w:rPr>
                <w:rFonts w:ascii="Times New Roman" w:hAnsi="Times New Roman" w:cs="Times New Roman"/>
                <w:sz w:val="18"/>
                <w:szCs w:val="18"/>
              </w:rPr>
            </w:pPr>
            <w:r>
              <w:rPr>
                <w:rFonts w:ascii="Times New Roman" w:hAnsi="Times New Roman" w:cs="Times New Roman"/>
                <w:sz w:val="18"/>
                <w:szCs w:val="18"/>
              </w:rPr>
              <w:t>Conexión y acondicionamiento de señal</w:t>
            </w:r>
          </w:p>
        </w:tc>
      </w:tr>
      <w:tr w:rsidR="00CF2A70" w14:paraId="296C3AF6" w14:textId="77777777" w:rsidTr="00CF2A70">
        <w:tc>
          <w:tcPr>
            <w:tcW w:w="1269" w:type="dxa"/>
            <w:vAlign w:val="center"/>
          </w:tcPr>
          <w:p w14:paraId="1BB5E104" w14:textId="2AF39571" w:rsidR="00CF2A70" w:rsidRPr="00982D3E" w:rsidRDefault="00CF2A70" w:rsidP="006F718F">
            <w:pPr>
              <w:jc w:val="both"/>
              <w:rPr>
                <w:rFonts w:ascii="Times New Roman" w:hAnsi="Times New Roman" w:cs="Times New Roman"/>
                <w:sz w:val="18"/>
                <w:szCs w:val="18"/>
              </w:rPr>
            </w:pPr>
            <w:r>
              <w:rPr>
                <w:rFonts w:ascii="Times New Roman" w:hAnsi="Times New Roman" w:cs="Times New Roman"/>
                <w:sz w:val="18"/>
                <w:szCs w:val="18"/>
              </w:rPr>
              <w:t>LM2596</w:t>
            </w:r>
          </w:p>
        </w:tc>
        <w:tc>
          <w:tcPr>
            <w:tcW w:w="866" w:type="dxa"/>
          </w:tcPr>
          <w:p w14:paraId="2B8609C8" w14:textId="5DB8EA1D" w:rsidR="00CF2A70" w:rsidRPr="00982D3E" w:rsidRDefault="00CF2A70" w:rsidP="006F718F">
            <w:pPr>
              <w:jc w:val="both"/>
              <w:rPr>
                <w:rFonts w:ascii="Times New Roman" w:hAnsi="Times New Roman" w:cs="Times New Roman"/>
                <w:sz w:val="18"/>
                <w:szCs w:val="18"/>
              </w:rPr>
            </w:pPr>
            <w:r>
              <w:rPr>
                <w:rFonts w:ascii="Times New Roman" w:hAnsi="Times New Roman" w:cs="Times New Roman"/>
                <w:sz w:val="18"/>
                <w:szCs w:val="18"/>
              </w:rPr>
              <w:t>1</w:t>
            </w:r>
          </w:p>
        </w:tc>
        <w:tc>
          <w:tcPr>
            <w:tcW w:w="2643" w:type="dxa"/>
            <w:vAlign w:val="center"/>
          </w:tcPr>
          <w:p w14:paraId="50320164" w14:textId="7AE4B0ED" w:rsidR="00CF2A70" w:rsidRPr="00982D3E" w:rsidRDefault="00CF2A70" w:rsidP="006F718F">
            <w:pPr>
              <w:jc w:val="both"/>
              <w:rPr>
                <w:rFonts w:ascii="Times New Roman" w:hAnsi="Times New Roman" w:cs="Times New Roman"/>
                <w:sz w:val="18"/>
                <w:szCs w:val="18"/>
              </w:rPr>
            </w:pPr>
            <w:r>
              <w:rPr>
                <w:rFonts w:ascii="Times New Roman" w:hAnsi="Times New Roman" w:cs="Times New Roman"/>
                <w:sz w:val="18"/>
                <w:szCs w:val="18"/>
              </w:rPr>
              <w:t>Regulador de Voltaje</w:t>
            </w:r>
          </w:p>
        </w:tc>
      </w:tr>
    </w:tbl>
    <w:p w14:paraId="16E22302" w14:textId="0F7E0BB7" w:rsidR="00336A0B" w:rsidRPr="00336A0B" w:rsidRDefault="00336A0B" w:rsidP="00982D3E">
      <w:pPr>
        <w:jc w:val="both"/>
        <w:rPr>
          <w:rFonts w:ascii="Times New Roman" w:hAnsi="Times New Roman" w:cs="Times New Roman"/>
        </w:rPr>
      </w:pPr>
      <w:r>
        <w:rPr>
          <w:rFonts w:ascii="Times New Roman" w:hAnsi="Times New Roman" w:cs="Times New Roman"/>
        </w:rPr>
        <w:t>TABLA I — COMPONENTES DEL PROTOTIPO MULTIZONA</w:t>
      </w:r>
    </w:p>
    <w:p w14:paraId="66D5C4AE" w14:textId="7F44EBD2" w:rsidR="00336A0B" w:rsidRPr="00336A0B" w:rsidRDefault="006F718F" w:rsidP="00982D3E">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1" locked="0" layoutInCell="1" allowOverlap="1" wp14:anchorId="225667E2" wp14:editId="3862268F">
            <wp:simplePos x="0" y="0"/>
            <wp:positionH relativeFrom="margin">
              <wp:posOffset>-635</wp:posOffset>
            </wp:positionH>
            <wp:positionV relativeFrom="paragraph">
              <wp:posOffset>1504315</wp:posOffset>
            </wp:positionV>
            <wp:extent cx="2999105" cy="2668270"/>
            <wp:effectExtent l="0" t="0" r="0" b="0"/>
            <wp:wrapSquare wrapText="bothSides"/>
            <wp:docPr id="92170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999105" cy="2668270"/>
                    </a:xfrm>
                    <a:prstGeom prst="rect">
                      <a:avLst/>
                    </a:prstGeom>
                    <a:noFill/>
                  </pic:spPr>
                </pic:pic>
              </a:graphicData>
            </a:graphic>
          </wp:anchor>
        </w:drawing>
      </w:r>
      <w:r>
        <w:rPr>
          <w:rFonts w:ascii="Times New Roman" w:hAnsi="Times New Roman" w:cs="Times New Roman"/>
        </w:rPr>
        <w:t>La Figura 1 muestra las series de temperatura simuladas para las tres zonas durante las 48 horas del experimento, junto con su umbral de alarma respectivo. Se observan picos transitorios asociados a eventos de apertura de puerta (Zona A) y de cocción (Zona C), así como el patrón cíclico diario en el almacén seco (Zona B).</w:t>
      </w:r>
    </w:p>
    <w:p w14:paraId="0CAC2D39" w14:textId="5150A811" w:rsidR="00336A0B" w:rsidRPr="00336A0B" w:rsidRDefault="00336A0B" w:rsidP="00982D3E">
      <w:pPr>
        <w:jc w:val="both"/>
        <w:rPr>
          <w:rFonts w:ascii="Times New Roman" w:hAnsi="Times New Roman" w:cs="Times New Roman"/>
        </w:rPr>
      </w:pPr>
      <w:r>
        <w:rPr>
          <w:rFonts w:ascii="Times New Roman" w:hAnsi="Times New Roman" w:cs="Times New Roman"/>
        </w:rPr>
        <w:t>Fig. 1. Series de temperatura por zona durante 48 h, con umbral de alarma (línea roja).</w:t>
      </w:r>
    </w:p>
    <w:p w14:paraId="3DBAE87C" w14:textId="3A86631F" w:rsidR="00336A0B" w:rsidRPr="00336A0B" w:rsidRDefault="006F718F" w:rsidP="00982D3E">
      <w:pPr>
        <w:jc w:val="both"/>
        <w:rPr>
          <w:rFonts w:ascii="Times New Roman" w:hAnsi="Times New Roman" w:cs="Times New Roman"/>
        </w:rPr>
      </w:pPr>
      <w:r>
        <w:rPr>
          <w:noProof/>
        </w:rPr>
        <w:drawing>
          <wp:anchor distT="0" distB="0" distL="114300" distR="114300" simplePos="0" relativeHeight="251659264" behindDoc="0" locked="0" layoutInCell="1" allowOverlap="1" wp14:anchorId="79684F66" wp14:editId="268B155C">
            <wp:simplePos x="0" y="0"/>
            <wp:positionH relativeFrom="margin">
              <wp:align>right</wp:align>
            </wp:positionH>
            <wp:positionV relativeFrom="paragraph">
              <wp:posOffset>1049655</wp:posOffset>
            </wp:positionV>
            <wp:extent cx="3040380" cy="1096645"/>
            <wp:effectExtent l="0" t="0" r="7620" b="8255"/>
            <wp:wrapSquare wrapText="bothSides"/>
            <wp:docPr id="634004205"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40380" cy="1096645"/>
                    </a:xfrm>
                    <a:prstGeom prst="rect">
                      <a:avLst/>
                    </a:prstGeom>
                  </pic:spPr>
                </pic:pic>
              </a:graphicData>
            </a:graphic>
          </wp:anchor>
        </w:drawing>
      </w:r>
      <w:r>
        <w:rPr>
          <w:rFonts w:ascii="Times New Roman" w:hAnsi="Times New Roman" w:cs="Times New Roman"/>
        </w:rPr>
        <w:t>La Figura 2 presenta la humedad relativa registrada en cada zona, consistente con los rangos esperados para cada tipo de almacenamiento (mayor humedad relativa en la cámara de refrigerados).</w:t>
      </w:r>
    </w:p>
    <w:p w14:paraId="2EC1DF72" w14:textId="509579B2" w:rsidR="00336A0B" w:rsidRPr="00336A0B" w:rsidRDefault="00336A0B" w:rsidP="00982D3E">
      <w:pPr>
        <w:jc w:val="both"/>
        <w:rPr>
          <w:rFonts w:ascii="Times New Roman" w:hAnsi="Times New Roman" w:cs="Times New Roman"/>
        </w:rPr>
      </w:pPr>
      <w:r>
        <w:rPr>
          <w:rFonts w:ascii="Times New Roman" w:hAnsi="Times New Roman" w:cs="Times New Roman"/>
        </w:rPr>
        <w:t>Fig. 2. Humedad relativa por zona durante el experimento.</w:t>
      </w:r>
    </w:p>
    <w:p w14:paraId="1E26467B" w14:textId="0CFEA418" w:rsidR="00336A0B" w:rsidRPr="00336A0B" w:rsidRDefault="006F718F" w:rsidP="00982D3E">
      <w:pPr>
        <w:jc w:val="both"/>
        <w:rPr>
          <w:rFonts w:ascii="Times New Roman" w:hAnsi="Times New Roman" w:cs="Times New Roman"/>
        </w:rPr>
      </w:pPr>
      <w:r>
        <w:rPr>
          <w:noProof/>
        </w:rPr>
        <w:drawing>
          <wp:anchor distT="0" distB="0" distL="114300" distR="114300" simplePos="0" relativeHeight="251660288" behindDoc="0" locked="0" layoutInCell="1" allowOverlap="1" wp14:anchorId="7DEC7EED" wp14:editId="6C6CD743">
            <wp:simplePos x="0" y="0"/>
            <wp:positionH relativeFrom="column">
              <wp:align>left</wp:align>
            </wp:positionH>
            <wp:positionV relativeFrom="paragraph">
              <wp:posOffset>635635</wp:posOffset>
            </wp:positionV>
            <wp:extent cx="2955290" cy="2133600"/>
            <wp:effectExtent l="0" t="0" r="0" b="0"/>
            <wp:wrapSquare wrapText="bothSides"/>
            <wp:docPr id="1423297073"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r="11398"/>
                    <a:stretch>
                      <a:fillRect/>
                    </a:stretch>
                  </pic:blipFill>
                  <pic:spPr bwMode="auto">
                    <a:xfrm>
                      <a:off x="0" y="0"/>
                      <a:ext cx="2959406" cy="2136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La arquitectura interna del sistema, incluyendo la proyección hacia una capa IoT futura, se ilustra en la Figura 5 (Sección II).</w:t>
      </w:r>
    </w:p>
    <w:p w14:paraId="3BD8CA30" w14:textId="6851C217" w:rsidR="00336A0B" w:rsidRPr="00336A0B" w:rsidRDefault="00336A0B" w:rsidP="00982D3E">
      <w:pPr>
        <w:jc w:val="both"/>
        <w:rPr>
          <w:rFonts w:ascii="Times New Roman" w:hAnsi="Times New Roman" w:cs="Times New Roman"/>
        </w:rPr>
      </w:pPr>
      <w:r>
        <w:rPr>
          <w:rFonts w:ascii="Times New Roman" w:hAnsi="Times New Roman" w:cs="Times New Roman"/>
        </w:rPr>
        <w:t>Fig. 5. Arquitectura del sistema multizona sobre ESP32.</w:t>
      </w:r>
    </w:p>
    <w:p w14:paraId="74C1B1D3" w14:textId="4C9FF767" w:rsidR="00982D3E" w:rsidRDefault="00CF37CC" w:rsidP="00982D3E">
      <w:pPr>
        <w:jc w:val="both"/>
        <w:rPr>
          <w:rFonts w:ascii="Times New Roman" w:hAnsi="Times New Roman" w:cs="Times New Roman"/>
        </w:rPr>
      </w:pPr>
      <w:r>
        <w:rPr>
          <w:rFonts w:ascii="Times New Roman" w:hAnsi="Times New Roman" w:cs="Times New Roman"/>
        </w:rPr>
        <w:t>La Tabla II resume las métricas obtenidas por zona. La línea de preparación (Zona C) presentó el mayor número de eventos de alarma (11) y el mayor tiempo acumulado en estado de alarma (240 minutos), consistente con su exposición a fuentes de calor de cocina. El almacén seco (Zona B) fue la zona más estable, con solo 3 eventos en 48 horas.</w:t>
      </w:r>
    </w:p>
    <w:tbl>
      <w:tblPr>
        <w:tblpPr w:leftFromText="141" w:rightFromText="141" w:vertAnchor="text" w:horzAnchor="margin" w:tblpY="-101"/>
        <w:tblW w:w="48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0"/>
        <w:gridCol w:w="709"/>
        <w:gridCol w:w="567"/>
        <w:gridCol w:w="708"/>
        <w:gridCol w:w="567"/>
        <w:gridCol w:w="567"/>
        <w:gridCol w:w="709"/>
      </w:tblGrid>
      <w:tr w:rsidR="00982D3E" w14:paraId="313B27A5" w14:textId="77777777" w:rsidTr="00982D3E">
        <w:tc>
          <w:tcPr>
            <w:tcW w:w="909" w:type="pct"/>
            <w:tcBorders>
              <w:top w:val="single" w:sz="1" w:space="0" w:color="999999"/>
              <w:left w:val="single" w:sz="1" w:space="0" w:color="999999"/>
              <w:bottom w:val="single" w:sz="1" w:space="0" w:color="999999"/>
              <w:right w:val="single" w:sz="1" w:space="0" w:color="999999"/>
            </w:tcBorders>
            <w:shd w:val="clear" w:color="auto" w:fill="D9E6F2"/>
            <w:tcMar>
              <w:top w:w="60" w:type="dxa"/>
              <w:left w:w="80" w:type="dxa"/>
              <w:bottom w:w="60" w:type="dxa"/>
              <w:right w:w="80" w:type="dxa"/>
            </w:tcMar>
            <w:vAlign w:val="center"/>
          </w:tcPr>
          <w:p w14:paraId="63EDCF03" w14:textId="77777777" w:rsidR="00982D3E" w:rsidRPr="00982D3E" w:rsidRDefault="00982D3E" w:rsidP="00982D3E">
            <w:pPr>
              <w:widowControl w:val="0"/>
              <w:spacing w:after="0"/>
              <w:jc w:val="both"/>
              <w:rPr>
                <w:rFonts w:ascii="Times New Roman" w:hAnsi="Times New Roman" w:cs="Times New Roman"/>
                <w:sz w:val="18"/>
                <w:szCs w:val="18"/>
              </w:rPr>
            </w:pPr>
            <w:r>
              <w:rPr>
                <w:rFonts w:ascii="Times New Roman" w:hAnsi="Times New Roman" w:cs="Times New Roman"/>
                <w:sz w:val="18"/>
                <w:szCs w:val="18"/>
              </w:rPr>
              <w:lastRenderedPageBreak/>
              <w:t>Zona</w:t>
            </w:r>
          </w:p>
        </w:tc>
        <w:tc>
          <w:tcPr>
            <w:tcW w:w="758" w:type="pct"/>
            <w:tcBorders>
              <w:top w:val="single" w:sz="1" w:space="0" w:color="999999"/>
              <w:left w:val="single" w:sz="1" w:space="0" w:color="999999"/>
              <w:bottom w:val="single" w:sz="1" w:space="0" w:color="999999"/>
              <w:right w:val="single" w:sz="1" w:space="0" w:color="999999"/>
            </w:tcBorders>
            <w:shd w:val="clear" w:color="auto" w:fill="D9E6F2"/>
            <w:tcMar>
              <w:top w:w="60" w:type="dxa"/>
              <w:left w:w="80" w:type="dxa"/>
              <w:bottom w:w="60" w:type="dxa"/>
              <w:right w:w="80" w:type="dxa"/>
            </w:tcMar>
            <w:vAlign w:val="center"/>
          </w:tcPr>
          <w:p w14:paraId="352B8074" w14:textId="77777777" w:rsidR="00982D3E" w:rsidRPr="00982D3E" w:rsidRDefault="00982D3E" w:rsidP="00982D3E">
            <w:pPr>
              <w:widowControl w:val="0"/>
              <w:spacing w:after="0"/>
              <w:jc w:val="both"/>
              <w:rPr>
                <w:rFonts w:ascii="Times New Roman" w:hAnsi="Times New Roman" w:cs="Times New Roman"/>
                <w:sz w:val="18"/>
                <w:szCs w:val="18"/>
              </w:rPr>
            </w:pPr>
            <w:proofErr w:type="spellStart"/>
            <w:r>
              <w:rPr>
                <w:rFonts w:ascii="Times New Roman" w:hAnsi="Times New Roman" w:cs="Times New Roman"/>
                <w:sz w:val="18"/>
                <w:szCs w:val="18"/>
              </w:rPr>
              <w:t>T°</w:t>
            </w:r>
            <w:proofErr w:type="spellEnd"/>
            <w:r>
              <w:rPr>
                <w:rFonts w:ascii="Times New Roman" w:hAnsi="Times New Roman" w:cs="Times New Roman"/>
                <w:sz w:val="18"/>
                <w:szCs w:val="18"/>
              </w:rPr>
              <w:t xml:space="preserve"> media (°C)</w:t>
            </w:r>
          </w:p>
        </w:tc>
        <w:tc>
          <w:tcPr>
            <w:tcW w:w="606" w:type="pct"/>
            <w:tcBorders>
              <w:top w:val="single" w:sz="1" w:space="0" w:color="999999"/>
              <w:left w:val="single" w:sz="1" w:space="0" w:color="999999"/>
              <w:bottom w:val="single" w:sz="1" w:space="0" w:color="999999"/>
              <w:right w:val="single" w:sz="1" w:space="0" w:color="999999"/>
            </w:tcBorders>
            <w:shd w:val="clear" w:color="auto" w:fill="D9E6F2"/>
            <w:tcMar>
              <w:top w:w="60" w:type="dxa"/>
              <w:left w:w="80" w:type="dxa"/>
              <w:bottom w:w="60" w:type="dxa"/>
              <w:right w:w="80" w:type="dxa"/>
            </w:tcMar>
            <w:vAlign w:val="center"/>
          </w:tcPr>
          <w:p w14:paraId="60EBBE3A" w14:textId="77777777" w:rsidR="00982D3E" w:rsidRPr="00982D3E" w:rsidRDefault="00982D3E" w:rsidP="00982D3E">
            <w:pPr>
              <w:widowControl w:val="0"/>
              <w:spacing w:after="0"/>
              <w:jc w:val="both"/>
              <w:rPr>
                <w:rFonts w:ascii="Times New Roman" w:hAnsi="Times New Roman" w:cs="Times New Roman"/>
                <w:sz w:val="18"/>
                <w:szCs w:val="18"/>
              </w:rPr>
            </w:pPr>
            <w:r>
              <w:rPr>
                <w:rFonts w:ascii="Times New Roman" w:hAnsi="Times New Roman" w:cs="Times New Roman"/>
                <w:sz w:val="18"/>
                <w:szCs w:val="18"/>
              </w:rPr>
              <w:t>Hum. media (%)</w:t>
            </w:r>
          </w:p>
        </w:tc>
        <w:tc>
          <w:tcPr>
            <w:tcW w:w="757" w:type="pct"/>
            <w:tcBorders>
              <w:top w:val="single" w:sz="1" w:space="0" w:color="999999"/>
              <w:left w:val="single" w:sz="1" w:space="0" w:color="999999"/>
              <w:bottom w:val="single" w:sz="1" w:space="0" w:color="999999"/>
              <w:right w:val="single" w:sz="1" w:space="0" w:color="999999"/>
            </w:tcBorders>
            <w:shd w:val="clear" w:color="auto" w:fill="D9E6F2"/>
            <w:tcMar>
              <w:top w:w="60" w:type="dxa"/>
              <w:left w:w="80" w:type="dxa"/>
              <w:bottom w:w="60" w:type="dxa"/>
              <w:right w:w="80" w:type="dxa"/>
            </w:tcMar>
            <w:vAlign w:val="center"/>
          </w:tcPr>
          <w:p w14:paraId="4EED99FA" w14:textId="77777777" w:rsidR="00982D3E" w:rsidRPr="00982D3E" w:rsidRDefault="00982D3E" w:rsidP="00982D3E">
            <w:pPr>
              <w:widowControl w:val="0"/>
              <w:spacing w:after="0"/>
              <w:jc w:val="both"/>
              <w:rPr>
                <w:rFonts w:ascii="Times New Roman" w:hAnsi="Times New Roman" w:cs="Times New Roman"/>
                <w:sz w:val="18"/>
                <w:szCs w:val="18"/>
              </w:rPr>
            </w:pPr>
            <w:r>
              <w:rPr>
                <w:rFonts w:ascii="Times New Roman" w:hAnsi="Times New Roman" w:cs="Times New Roman"/>
                <w:sz w:val="18"/>
                <w:szCs w:val="18"/>
              </w:rPr>
              <w:t>Umbral (°C)</w:t>
            </w:r>
          </w:p>
        </w:tc>
        <w:tc>
          <w:tcPr>
            <w:tcW w:w="606" w:type="pct"/>
            <w:tcBorders>
              <w:top w:val="single" w:sz="1" w:space="0" w:color="999999"/>
              <w:left w:val="single" w:sz="1" w:space="0" w:color="999999"/>
              <w:bottom w:val="single" w:sz="1" w:space="0" w:color="999999"/>
              <w:right w:val="single" w:sz="1" w:space="0" w:color="999999"/>
            </w:tcBorders>
            <w:shd w:val="clear" w:color="auto" w:fill="D9E6F2"/>
            <w:tcMar>
              <w:top w:w="60" w:type="dxa"/>
              <w:left w:w="80" w:type="dxa"/>
              <w:bottom w:w="60" w:type="dxa"/>
              <w:right w:w="80" w:type="dxa"/>
            </w:tcMar>
            <w:vAlign w:val="center"/>
          </w:tcPr>
          <w:p w14:paraId="0C38DCAC" w14:textId="77777777" w:rsidR="00982D3E" w:rsidRPr="00982D3E" w:rsidRDefault="00982D3E" w:rsidP="00982D3E">
            <w:pPr>
              <w:widowControl w:val="0"/>
              <w:spacing w:after="0"/>
              <w:jc w:val="both"/>
              <w:rPr>
                <w:rFonts w:ascii="Times New Roman" w:hAnsi="Times New Roman" w:cs="Times New Roman"/>
                <w:sz w:val="18"/>
                <w:szCs w:val="18"/>
              </w:rPr>
            </w:pPr>
            <w:proofErr w:type="spellStart"/>
            <w:r>
              <w:rPr>
                <w:rFonts w:ascii="Times New Roman" w:hAnsi="Times New Roman" w:cs="Times New Roman"/>
                <w:sz w:val="18"/>
                <w:szCs w:val="18"/>
              </w:rPr>
              <w:t>N°</w:t>
            </w:r>
            <w:proofErr w:type="spellEnd"/>
            <w:r>
              <w:rPr>
                <w:rFonts w:ascii="Times New Roman" w:hAnsi="Times New Roman" w:cs="Times New Roman"/>
                <w:sz w:val="18"/>
                <w:szCs w:val="18"/>
              </w:rPr>
              <w:t xml:space="preserve"> alarmas</w:t>
            </w:r>
          </w:p>
        </w:tc>
        <w:tc>
          <w:tcPr>
            <w:tcW w:w="606" w:type="pct"/>
            <w:tcBorders>
              <w:top w:val="single" w:sz="1" w:space="0" w:color="999999"/>
              <w:left w:val="single" w:sz="1" w:space="0" w:color="999999"/>
              <w:bottom w:val="single" w:sz="1" w:space="0" w:color="999999"/>
              <w:right w:val="single" w:sz="1" w:space="0" w:color="999999"/>
            </w:tcBorders>
            <w:shd w:val="clear" w:color="auto" w:fill="D9E6F2"/>
            <w:tcMar>
              <w:top w:w="60" w:type="dxa"/>
              <w:left w:w="80" w:type="dxa"/>
              <w:bottom w:w="60" w:type="dxa"/>
              <w:right w:w="80" w:type="dxa"/>
            </w:tcMar>
            <w:vAlign w:val="center"/>
          </w:tcPr>
          <w:p w14:paraId="7C766595" w14:textId="77777777" w:rsidR="00982D3E" w:rsidRPr="00982D3E" w:rsidRDefault="00982D3E" w:rsidP="00982D3E">
            <w:pPr>
              <w:widowControl w:val="0"/>
              <w:spacing w:after="0"/>
              <w:jc w:val="both"/>
              <w:rPr>
                <w:rFonts w:ascii="Times New Roman" w:hAnsi="Times New Roman" w:cs="Times New Roman"/>
                <w:sz w:val="18"/>
                <w:szCs w:val="18"/>
              </w:rPr>
            </w:pPr>
            <w:r>
              <w:rPr>
                <w:rFonts w:ascii="Times New Roman" w:hAnsi="Times New Roman" w:cs="Times New Roman"/>
                <w:sz w:val="18"/>
                <w:szCs w:val="18"/>
              </w:rPr>
              <w:t>T. en alarma (min)</w:t>
            </w:r>
          </w:p>
        </w:tc>
        <w:tc>
          <w:tcPr>
            <w:tcW w:w="758" w:type="pct"/>
            <w:tcBorders>
              <w:top w:val="single" w:sz="1" w:space="0" w:color="999999"/>
              <w:left w:val="single" w:sz="1" w:space="0" w:color="999999"/>
              <w:bottom w:val="single" w:sz="1" w:space="0" w:color="999999"/>
              <w:right w:val="single" w:sz="1" w:space="0" w:color="999999"/>
            </w:tcBorders>
            <w:shd w:val="clear" w:color="auto" w:fill="D9E6F2"/>
            <w:tcMar>
              <w:top w:w="60" w:type="dxa"/>
              <w:left w:w="80" w:type="dxa"/>
              <w:bottom w:w="60" w:type="dxa"/>
              <w:right w:w="80" w:type="dxa"/>
            </w:tcMar>
            <w:vAlign w:val="center"/>
          </w:tcPr>
          <w:p w14:paraId="652400AF" w14:textId="77777777" w:rsidR="00982D3E" w:rsidRPr="00982D3E" w:rsidRDefault="00982D3E" w:rsidP="00982D3E">
            <w:pPr>
              <w:widowControl w:val="0"/>
              <w:spacing w:after="0"/>
              <w:jc w:val="both"/>
              <w:rPr>
                <w:rFonts w:ascii="Times New Roman" w:hAnsi="Times New Roman" w:cs="Times New Roman"/>
                <w:sz w:val="18"/>
                <w:szCs w:val="18"/>
              </w:rPr>
            </w:pPr>
            <w:r>
              <w:rPr>
                <w:rFonts w:ascii="Times New Roman" w:hAnsi="Times New Roman" w:cs="Times New Roman"/>
                <w:sz w:val="18"/>
                <w:szCs w:val="18"/>
              </w:rPr>
              <w:t>Latencia (s)</w:t>
            </w:r>
          </w:p>
        </w:tc>
      </w:tr>
      <w:tr w:rsidR="00982D3E" w14:paraId="11A9763E" w14:textId="77777777" w:rsidTr="00982D3E">
        <w:tc>
          <w:tcPr>
            <w:tcW w:w="909"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456CB843" w14:textId="77777777" w:rsidR="00982D3E" w:rsidRPr="00982D3E" w:rsidRDefault="00982D3E" w:rsidP="00982D3E">
            <w:pPr>
              <w:widowControl w:val="0"/>
              <w:spacing w:after="0"/>
              <w:jc w:val="both"/>
              <w:rPr>
                <w:rFonts w:ascii="Times New Roman" w:hAnsi="Times New Roman" w:cs="Times New Roman"/>
                <w:sz w:val="18"/>
                <w:szCs w:val="18"/>
              </w:rPr>
            </w:pPr>
            <w:r>
              <w:rPr>
                <w:rFonts w:ascii="Times New Roman" w:hAnsi="Times New Roman" w:cs="Times New Roman"/>
                <w:sz w:val="18"/>
                <w:szCs w:val="18"/>
              </w:rPr>
              <w:t>Zona A – Refrigerados</w:t>
            </w:r>
          </w:p>
        </w:tc>
        <w:tc>
          <w:tcPr>
            <w:tcW w:w="758"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76E5BB94" w14:textId="77777777" w:rsidR="00982D3E" w:rsidRPr="00982D3E" w:rsidRDefault="00982D3E" w:rsidP="00982D3E">
            <w:pPr>
              <w:widowControl w:val="0"/>
              <w:spacing w:after="0"/>
              <w:jc w:val="both"/>
              <w:rPr>
                <w:rFonts w:ascii="Times New Roman" w:hAnsi="Times New Roman" w:cs="Times New Roman"/>
                <w:sz w:val="18"/>
                <w:szCs w:val="18"/>
              </w:rPr>
            </w:pPr>
            <w:r>
              <w:rPr>
                <w:rFonts w:ascii="Times New Roman" w:hAnsi="Times New Roman" w:cs="Times New Roman"/>
                <w:sz w:val="18"/>
                <w:szCs w:val="18"/>
              </w:rPr>
              <w:t>4.4 ± 1.7</w:t>
            </w:r>
          </w:p>
        </w:tc>
        <w:tc>
          <w:tcPr>
            <w:tcW w:w="606"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665A036A" w14:textId="77777777" w:rsidR="00982D3E" w:rsidRPr="00982D3E" w:rsidRDefault="00982D3E" w:rsidP="00982D3E">
            <w:pPr>
              <w:widowControl w:val="0"/>
              <w:spacing w:after="0"/>
              <w:jc w:val="both"/>
              <w:rPr>
                <w:rFonts w:ascii="Times New Roman" w:hAnsi="Times New Roman" w:cs="Times New Roman"/>
                <w:sz w:val="18"/>
                <w:szCs w:val="18"/>
              </w:rPr>
            </w:pPr>
            <w:r>
              <w:rPr>
                <w:rFonts w:ascii="Times New Roman" w:hAnsi="Times New Roman" w:cs="Times New Roman"/>
                <w:sz w:val="18"/>
                <w:szCs w:val="18"/>
              </w:rPr>
              <w:t>85.3</w:t>
            </w:r>
          </w:p>
        </w:tc>
        <w:tc>
          <w:tcPr>
            <w:tcW w:w="757"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2641F404" w14:textId="77777777" w:rsidR="00982D3E" w:rsidRPr="00982D3E" w:rsidRDefault="00982D3E" w:rsidP="00982D3E">
            <w:pPr>
              <w:widowControl w:val="0"/>
              <w:spacing w:after="0"/>
              <w:jc w:val="both"/>
              <w:rPr>
                <w:rFonts w:ascii="Times New Roman" w:hAnsi="Times New Roman" w:cs="Times New Roman"/>
                <w:sz w:val="18"/>
                <w:szCs w:val="18"/>
              </w:rPr>
            </w:pPr>
            <w:r>
              <w:rPr>
                <w:rFonts w:ascii="Times New Roman" w:hAnsi="Times New Roman" w:cs="Times New Roman"/>
                <w:sz w:val="18"/>
                <w:szCs w:val="18"/>
              </w:rPr>
              <w:t>8.0</w:t>
            </w:r>
          </w:p>
        </w:tc>
        <w:tc>
          <w:tcPr>
            <w:tcW w:w="606"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4B3B169E" w14:textId="77777777" w:rsidR="00982D3E" w:rsidRPr="00982D3E" w:rsidRDefault="00982D3E" w:rsidP="00982D3E">
            <w:pPr>
              <w:widowControl w:val="0"/>
              <w:spacing w:after="0"/>
              <w:jc w:val="both"/>
              <w:rPr>
                <w:rFonts w:ascii="Times New Roman" w:hAnsi="Times New Roman" w:cs="Times New Roman"/>
                <w:sz w:val="18"/>
                <w:szCs w:val="18"/>
              </w:rPr>
            </w:pPr>
            <w:r>
              <w:rPr>
                <w:rFonts w:ascii="Times New Roman" w:hAnsi="Times New Roman" w:cs="Times New Roman"/>
                <w:sz w:val="18"/>
                <w:szCs w:val="18"/>
              </w:rPr>
              <w:t>9</w:t>
            </w:r>
          </w:p>
        </w:tc>
        <w:tc>
          <w:tcPr>
            <w:tcW w:w="606"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34DF8B15" w14:textId="77777777" w:rsidR="00982D3E" w:rsidRPr="00982D3E" w:rsidRDefault="00982D3E" w:rsidP="00982D3E">
            <w:pPr>
              <w:widowControl w:val="0"/>
              <w:spacing w:after="0"/>
              <w:jc w:val="both"/>
              <w:rPr>
                <w:rFonts w:ascii="Times New Roman" w:hAnsi="Times New Roman" w:cs="Times New Roman"/>
                <w:sz w:val="18"/>
                <w:szCs w:val="18"/>
              </w:rPr>
            </w:pPr>
            <w:r>
              <w:rPr>
                <w:rFonts w:ascii="Times New Roman" w:hAnsi="Times New Roman" w:cs="Times New Roman"/>
                <w:sz w:val="18"/>
                <w:szCs w:val="18"/>
              </w:rPr>
              <w:t>130</w:t>
            </w:r>
          </w:p>
        </w:tc>
        <w:tc>
          <w:tcPr>
            <w:tcW w:w="758"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7EE77CBE" w14:textId="77777777" w:rsidR="00982D3E" w:rsidRPr="00982D3E" w:rsidRDefault="00982D3E" w:rsidP="00982D3E">
            <w:pPr>
              <w:widowControl w:val="0"/>
              <w:spacing w:after="0"/>
              <w:jc w:val="both"/>
              <w:rPr>
                <w:rFonts w:ascii="Times New Roman" w:hAnsi="Times New Roman" w:cs="Times New Roman"/>
                <w:sz w:val="18"/>
                <w:szCs w:val="18"/>
              </w:rPr>
            </w:pPr>
            <w:r>
              <w:rPr>
                <w:rFonts w:ascii="Times New Roman" w:hAnsi="Times New Roman" w:cs="Times New Roman"/>
                <w:sz w:val="18"/>
                <w:szCs w:val="18"/>
              </w:rPr>
              <w:t>2.22</w:t>
            </w:r>
          </w:p>
        </w:tc>
      </w:tr>
      <w:tr w:rsidR="00982D3E" w14:paraId="11C5EB5D" w14:textId="77777777" w:rsidTr="00982D3E">
        <w:tc>
          <w:tcPr>
            <w:tcW w:w="909"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2D29EDAF" w14:textId="77777777" w:rsidR="00982D3E" w:rsidRPr="00982D3E" w:rsidRDefault="00982D3E" w:rsidP="00982D3E">
            <w:pPr>
              <w:widowControl w:val="0"/>
              <w:spacing w:after="0"/>
              <w:jc w:val="both"/>
              <w:rPr>
                <w:rFonts w:ascii="Times New Roman" w:hAnsi="Times New Roman" w:cs="Times New Roman"/>
                <w:sz w:val="18"/>
                <w:szCs w:val="18"/>
              </w:rPr>
            </w:pPr>
            <w:r>
              <w:rPr>
                <w:rFonts w:ascii="Times New Roman" w:hAnsi="Times New Roman" w:cs="Times New Roman"/>
                <w:sz w:val="18"/>
                <w:szCs w:val="18"/>
              </w:rPr>
              <w:t>Zona B – Almacén seco</w:t>
            </w:r>
          </w:p>
        </w:tc>
        <w:tc>
          <w:tcPr>
            <w:tcW w:w="758"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3C901F27" w14:textId="77777777" w:rsidR="00982D3E" w:rsidRPr="00982D3E" w:rsidRDefault="00982D3E" w:rsidP="00982D3E">
            <w:pPr>
              <w:widowControl w:val="0"/>
              <w:spacing w:after="0"/>
              <w:jc w:val="both"/>
              <w:rPr>
                <w:rFonts w:ascii="Times New Roman" w:hAnsi="Times New Roman" w:cs="Times New Roman"/>
                <w:sz w:val="18"/>
                <w:szCs w:val="18"/>
              </w:rPr>
            </w:pPr>
            <w:r>
              <w:rPr>
                <w:rFonts w:ascii="Times New Roman" w:hAnsi="Times New Roman" w:cs="Times New Roman"/>
                <w:sz w:val="18"/>
                <w:szCs w:val="18"/>
              </w:rPr>
              <w:t>23.3 ± 2.7</w:t>
            </w:r>
          </w:p>
        </w:tc>
        <w:tc>
          <w:tcPr>
            <w:tcW w:w="606"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0007E713" w14:textId="77777777" w:rsidR="00982D3E" w:rsidRPr="00982D3E" w:rsidRDefault="00982D3E" w:rsidP="00982D3E">
            <w:pPr>
              <w:widowControl w:val="0"/>
              <w:spacing w:after="0"/>
              <w:jc w:val="both"/>
              <w:rPr>
                <w:rFonts w:ascii="Times New Roman" w:hAnsi="Times New Roman" w:cs="Times New Roman"/>
                <w:sz w:val="18"/>
                <w:szCs w:val="18"/>
              </w:rPr>
            </w:pPr>
            <w:r>
              <w:rPr>
                <w:rFonts w:ascii="Times New Roman" w:hAnsi="Times New Roman" w:cs="Times New Roman"/>
                <w:sz w:val="18"/>
                <w:szCs w:val="18"/>
              </w:rPr>
              <w:t>54.9</w:t>
            </w:r>
          </w:p>
        </w:tc>
        <w:tc>
          <w:tcPr>
            <w:tcW w:w="757"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4A387774" w14:textId="77777777" w:rsidR="00982D3E" w:rsidRPr="00982D3E" w:rsidRDefault="00982D3E" w:rsidP="00982D3E">
            <w:pPr>
              <w:widowControl w:val="0"/>
              <w:spacing w:after="0"/>
              <w:jc w:val="both"/>
              <w:rPr>
                <w:rFonts w:ascii="Times New Roman" w:hAnsi="Times New Roman" w:cs="Times New Roman"/>
                <w:sz w:val="18"/>
                <w:szCs w:val="18"/>
              </w:rPr>
            </w:pPr>
            <w:r>
              <w:rPr>
                <w:rFonts w:ascii="Times New Roman" w:hAnsi="Times New Roman" w:cs="Times New Roman"/>
                <w:sz w:val="18"/>
                <w:szCs w:val="18"/>
              </w:rPr>
              <w:t>30.0</w:t>
            </w:r>
          </w:p>
        </w:tc>
        <w:tc>
          <w:tcPr>
            <w:tcW w:w="606"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734B75C8" w14:textId="77777777" w:rsidR="00982D3E" w:rsidRPr="00982D3E" w:rsidRDefault="00982D3E" w:rsidP="00982D3E">
            <w:pPr>
              <w:widowControl w:val="0"/>
              <w:spacing w:after="0"/>
              <w:jc w:val="both"/>
              <w:rPr>
                <w:rFonts w:ascii="Times New Roman" w:hAnsi="Times New Roman" w:cs="Times New Roman"/>
                <w:sz w:val="18"/>
                <w:szCs w:val="18"/>
              </w:rPr>
            </w:pPr>
            <w:r>
              <w:rPr>
                <w:rFonts w:ascii="Times New Roman" w:hAnsi="Times New Roman" w:cs="Times New Roman"/>
                <w:sz w:val="18"/>
                <w:szCs w:val="18"/>
              </w:rPr>
              <w:t>3</w:t>
            </w:r>
          </w:p>
        </w:tc>
        <w:tc>
          <w:tcPr>
            <w:tcW w:w="606"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30F25C90" w14:textId="77777777" w:rsidR="00982D3E" w:rsidRPr="00982D3E" w:rsidRDefault="00982D3E" w:rsidP="00982D3E">
            <w:pPr>
              <w:widowControl w:val="0"/>
              <w:spacing w:after="0"/>
              <w:jc w:val="both"/>
              <w:rPr>
                <w:rFonts w:ascii="Times New Roman" w:hAnsi="Times New Roman" w:cs="Times New Roman"/>
                <w:sz w:val="18"/>
                <w:szCs w:val="18"/>
              </w:rPr>
            </w:pPr>
            <w:r>
              <w:rPr>
                <w:rFonts w:ascii="Times New Roman" w:hAnsi="Times New Roman" w:cs="Times New Roman"/>
                <w:sz w:val="18"/>
                <w:szCs w:val="18"/>
              </w:rPr>
              <w:t>40</w:t>
            </w:r>
          </w:p>
        </w:tc>
        <w:tc>
          <w:tcPr>
            <w:tcW w:w="758"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5CD5D129" w14:textId="77777777" w:rsidR="00982D3E" w:rsidRPr="00982D3E" w:rsidRDefault="00982D3E" w:rsidP="00982D3E">
            <w:pPr>
              <w:widowControl w:val="0"/>
              <w:spacing w:after="0"/>
              <w:jc w:val="both"/>
              <w:rPr>
                <w:rFonts w:ascii="Times New Roman" w:hAnsi="Times New Roman" w:cs="Times New Roman"/>
                <w:sz w:val="18"/>
                <w:szCs w:val="18"/>
              </w:rPr>
            </w:pPr>
            <w:r>
              <w:rPr>
                <w:rFonts w:ascii="Times New Roman" w:hAnsi="Times New Roman" w:cs="Times New Roman"/>
                <w:sz w:val="18"/>
                <w:szCs w:val="18"/>
              </w:rPr>
              <w:t>1.87</w:t>
            </w:r>
          </w:p>
        </w:tc>
      </w:tr>
      <w:tr w:rsidR="00982D3E" w14:paraId="58F628AB" w14:textId="77777777" w:rsidTr="00982D3E">
        <w:tc>
          <w:tcPr>
            <w:tcW w:w="909"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70E2FD9D" w14:textId="77777777" w:rsidR="00982D3E" w:rsidRPr="00982D3E" w:rsidRDefault="00982D3E" w:rsidP="00982D3E">
            <w:pPr>
              <w:widowControl w:val="0"/>
              <w:spacing w:after="0"/>
              <w:jc w:val="both"/>
              <w:rPr>
                <w:rFonts w:ascii="Times New Roman" w:hAnsi="Times New Roman" w:cs="Times New Roman"/>
                <w:sz w:val="18"/>
                <w:szCs w:val="18"/>
              </w:rPr>
            </w:pPr>
            <w:r>
              <w:rPr>
                <w:rFonts w:ascii="Times New Roman" w:hAnsi="Times New Roman" w:cs="Times New Roman"/>
                <w:sz w:val="18"/>
                <w:szCs w:val="18"/>
              </w:rPr>
              <w:t>Zona C – Línea de calor</w:t>
            </w:r>
          </w:p>
        </w:tc>
        <w:tc>
          <w:tcPr>
            <w:tcW w:w="758"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4F285E07" w14:textId="77777777" w:rsidR="00982D3E" w:rsidRPr="00982D3E" w:rsidRDefault="00982D3E" w:rsidP="00982D3E">
            <w:pPr>
              <w:widowControl w:val="0"/>
              <w:spacing w:after="0"/>
              <w:jc w:val="both"/>
              <w:rPr>
                <w:rFonts w:ascii="Times New Roman" w:hAnsi="Times New Roman" w:cs="Times New Roman"/>
                <w:sz w:val="18"/>
                <w:szCs w:val="18"/>
              </w:rPr>
            </w:pPr>
            <w:r>
              <w:rPr>
                <w:rFonts w:ascii="Times New Roman" w:hAnsi="Times New Roman" w:cs="Times New Roman"/>
                <w:sz w:val="18"/>
                <w:szCs w:val="18"/>
              </w:rPr>
              <w:t>29.1 ± 4.0</w:t>
            </w:r>
          </w:p>
        </w:tc>
        <w:tc>
          <w:tcPr>
            <w:tcW w:w="606"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5AAC2542" w14:textId="77777777" w:rsidR="00982D3E" w:rsidRPr="00982D3E" w:rsidRDefault="00982D3E" w:rsidP="00982D3E">
            <w:pPr>
              <w:widowControl w:val="0"/>
              <w:spacing w:after="0"/>
              <w:jc w:val="both"/>
              <w:rPr>
                <w:rFonts w:ascii="Times New Roman" w:hAnsi="Times New Roman" w:cs="Times New Roman"/>
                <w:sz w:val="18"/>
                <w:szCs w:val="18"/>
              </w:rPr>
            </w:pPr>
            <w:r>
              <w:rPr>
                <w:rFonts w:ascii="Times New Roman" w:hAnsi="Times New Roman" w:cs="Times New Roman"/>
                <w:sz w:val="18"/>
                <w:szCs w:val="18"/>
              </w:rPr>
              <w:t>60.0</w:t>
            </w:r>
          </w:p>
        </w:tc>
        <w:tc>
          <w:tcPr>
            <w:tcW w:w="757"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191E3257" w14:textId="77777777" w:rsidR="00982D3E" w:rsidRPr="00982D3E" w:rsidRDefault="00982D3E" w:rsidP="00982D3E">
            <w:pPr>
              <w:widowControl w:val="0"/>
              <w:spacing w:after="0"/>
              <w:jc w:val="both"/>
              <w:rPr>
                <w:rFonts w:ascii="Times New Roman" w:hAnsi="Times New Roman" w:cs="Times New Roman"/>
                <w:sz w:val="18"/>
                <w:szCs w:val="18"/>
              </w:rPr>
            </w:pPr>
            <w:r>
              <w:rPr>
                <w:rFonts w:ascii="Times New Roman" w:hAnsi="Times New Roman" w:cs="Times New Roman"/>
                <w:sz w:val="18"/>
                <w:szCs w:val="18"/>
              </w:rPr>
              <w:t>35.0</w:t>
            </w:r>
          </w:p>
        </w:tc>
        <w:tc>
          <w:tcPr>
            <w:tcW w:w="606"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367DF385" w14:textId="77777777" w:rsidR="00982D3E" w:rsidRPr="00982D3E" w:rsidRDefault="00982D3E" w:rsidP="00982D3E">
            <w:pPr>
              <w:widowControl w:val="0"/>
              <w:spacing w:after="0"/>
              <w:jc w:val="both"/>
              <w:rPr>
                <w:rFonts w:ascii="Times New Roman" w:hAnsi="Times New Roman" w:cs="Times New Roman"/>
                <w:sz w:val="18"/>
                <w:szCs w:val="18"/>
              </w:rPr>
            </w:pPr>
            <w:r>
              <w:rPr>
                <w:rFonts w:ascii="Times New Roman" w:hAnsi="Times New Roman" w:cs="Times New Roman"/>
                <w:sz w:val="18"/>
                <w:szCs w:val="18"/>
              </w:rPr>
              <w:t>11</w:t>
            </w:r>
          </w:p>
        </w:tc>
        <w:tc>
          <w:tcPr>
            <w:tcW w:w="606"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18F40CD6" w14:textId="77777777" w:rsidR="00982D3E" w:rsidRPr="00982D3E" w:rsidRDefault="00982D3E" w:rsidP="00982D3E">
            <w:pPr>
              <w:widowControl w:val="0"/>
              <w:spacing w:after="0"/>
              <w:jc w:val="both"/>
              <w:rPr>
                <w:rFonts w:ascii="Times New Roman" w:hAnsi="Times New Roman" w:cs="Times New Roman"/>
                <w:sz w:val="18"/>
                <w:szCs w:val="18"/>
              </w:rPr>
            </w:pPr>
            <w:r>
              <w:rPr>
                <w:rFonts w:ascii="Times New Roman" w:hAnsi="Times New Roman" w:cs="Times New Roman"/>
                <w:sz w:val="18"/>
                <w:szCs w:val="18"/>
              </w:rPr>
              <w:t>240</w:t>
            </w:r>
          </w:p>
        </w:tc>
        <w:tc>
          <w:tcPr>
            <w:tcW w:w="758" w:type="pct"/>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659D2736" w14:textId="77777777" w:rsidR="00982D3E" w:rsidRPr="00982D3E" w:rsidRDefault="00982D3E" w:rsidP="00982D3E">
            <w:pPr>
              <w:widowControl w:val="0"/>
              <w:spacing w:after="0"/>
              <w:jc w:val="both"/>
              <w:rPr>
                <w:rFonts w:ascii="Times New Roman" w:hAnsi="Times New Roman" w:cs="Times New Roman"/>
                <w:sz w:val="18"/>
                <w:szCs w:val="18"/>
              </w:rPr>
            </w:pPr>
            <w:r>
              <w:rPr>
                <w:rFonts w:ascii="Times New Roman" w:hAnsi="Times New Roman" w:cs="Times New Roman"/>
                <w:sz w:val="18"/>
                <w:szCs w:val="18"/>
              </w:rPr>
              <w:t>2.27</w:t>
            </w:r>
          </w:p>
        </w:tc>
      </w:tr>
    </w:tbl>
    <w:p w14:paraId="62CCC3BD" w14:textId="7CD3C233" w:rsidR="00336A0B" w:rsidRPr="00336A0B" w:rsidRDefault="00336A0B" w:rsidP="00982D3E">
      <w:pPr>
        <w:jc w:val="both"/>
        <w:rPr>
          <w:rFonts w:ascii="Times New Roman" w:hAnsi="Times New Roman" w:cs="Times New Roman"/>
        </w:rPr>
      </w:pPr>
      <w:r>
        <w:rPr>
          <w:rFonts w:ascii="Times New Roman" w:hAnsi="Times New Roman" w:cs="Times New Roman"/>
        </w:rPr>
        <w:t>TABLA II — MÉTRICAS POR ZONA (48 H, N=576 MUESTRAS/ZONA)</w:t>
      </w:r>
    </w:p>
    <w:p w14:paraId="5535EAAF" w14:textId="2EE1B478" w:rsidR="00336A0B" w:rsidRPr="00336A0B" w:rsidRDefault="00982D3E" w:rsidP="00982D3E">
      <w:pPr>
        <w:jc w:val="both"/>
        <w:rPr>
          <w:rFonts w:ascii="Times New Roman" w:hAnsi="Times New Roman" w:cs="Times New Roman"/>
        </w:rPr>
      </w:pPr>
      <w:r>
        <w:rPr>
          <w:noProof/>
        </w:rPr>
        <w:drawing>
          <wp:anchor distT="0" distB="0" distL="114300" distR="114300" simplePos="0" relativeHeight="251661312" behindDoc="0" locked="0" layoutInCell="1" allowOverlap="1" wp14:anchorId="5B2AF784" wp14:editId="45EBA8A6">
            <wp:simplePos x="0" y="0"/>
            <wp:positionH relativeFrom="column">
              <wp:align>right</wp:align>
            </wp:positionH>
            <wp:positionV relativeFrom="paragraph">
              <wp:posOffset>1090930</wp:posOffset>
            </wp:positionV>
            <wp:extent cx="3028950" cy="1160780"/>
            <wp:effectExtent l="0" t="0" r="0" b="1270"/>
            <wp:wrapSquare wrapText="bothSides"/>
            <wp:docPr id="1326383345"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28950" cy="1160780"/>
                    </a:xfrm>
                    <a:prstGeom prst="rect">
                      <a:avLst/>
                    </a:prstGeom>
                  </pic:spPr>
                </pic:pic>
              </a:graphicData>
            </a:graphic>
            <wp14:sizeRelH relativeFrom="margin">
              <wp14:pctWidth>0</wp14:pctWidth>
            </wp14:sizeRelH>
          </wp:anchor>
        </w:drawing>
      </w:r>
      <w:r>
        <w:rPr>
          <w:rFonts w:ascii="Times New Roman" w:hAnsi="Times New Roman" w:cs="Times New Roman"/>
        </w:rPr>
        <w:t>La Figura 3 compara visualmente el número de eventos de alarma y el tiempo total en alarma entre zonas, evidenciando que la línea de preparación concentra el mayor riesgo térmico relativo, seguida de la cámara de refrigerados.</w:t>
      </w:r>
    </w:p>
    <w:p w14:paraId="106B12DB" w14:textId="07FBFF28" w:rsidR="00336A0B" w:rsidRPr="00336A0B" w:rsidRDefault="00336A0B" w:rsidP="00982D3E">
      <w:pPr>
        <w:jc w:val="both"/>
        <w:rPr>
          <w:rFonts w:ascii="Times New Roman" w:hAnsi="Times New Roman" w:cs="Times New Roman"/>
        </w:rPr>
      </w:pPr>
      <w:r>
        <w:rPr>
          <w:rFonts w:ascii="Times New Roman" w:hAnsi="Times New Roman" w:cs="Times New Roman"/>
        </w:rPr>
        <w:t>Fig. 3. Comparación de eventos de alarma y tiempo en alarma por zona.</w:t>
      </w:r>
    </w:p>
    <w:p w14:paraId="76BF1121" w14:textId="23D52128" w:rsidR="00336A0B" w:rsidRPr="00336A0B" w:rsidRDefault="00982D3E" w:rsidP="00982D3E">
      <w:pPr>
        <w:jc w:val="both"/>
        <w:rPr>
          <w:rFonts w:ascii="Times New Roman" w:hAnsi="Times New Roman" w:cs="Times New Roman"/>
        </w:rPr>
      </w:pPr>
      <w:r>
        <w:rPr>
          <w:noProof/>
        </w:rPr>
        <w:drawing>
          <wp:anchor distT="0" distB="0" distL="114300" distR="114300" simplePos="0" relativeHeight="251662336" behindDoc="0" locked="0" layoutInCell="1" allowOverlap="1" wp14:anchorId="02C73C64" wp14:editId="6C2E43CB">
            <wp:simplePos x="0" y="0"/>
            <wp:positionH relativeFrom="margin">
              <wp:align>left</wp:align>
            </wp:positionH>
            <wp:positionV relativeFrom="paragraph">
              <wp:posOffset>1336675</wp:posOffset>
            </wp:positionV>
            <wp:extent cx="3040380" cy="1096645"/>
            <wp:effectExtent l="0" t="0" r="7620" b="8255"/>
            <wp:wrapSquare wrapText="bothSides"/>
            <wp:docPr id="390586687"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40380" cy="1096645"/>
                    </a:xfrm>
                    <a:prstGeom prst="rect">
                      <a:avLst/>
                    </a:prstGeom>
                  </pic:spPr>
                </pic:pic>
              </a:graphicData>
            </a:graphic>
          </wp:anchor>
        </w:drawing>
      </w:r>
      <w:r>
        <w:rPr>
          <w:rFonts w:ascii="Times New Roman" w:hAnsi="Times New Roman" w:cs="Times New Roman"/>
        </w:rPr>
        <w:t>La Figura 4 muestra la distribución de la latencia de detección–actuación agregada (N = 23 eventos de alarma en las tres zonas), con una media de 2.20 s y una desviación estándar de 0.28 s, valor dominado por el tiempo de ciclo fijo de lectura del DHT11 (delay(2000) ms en el firmware).</w:t>
      </w:r>
    </w:p>
    <w:p w14:paraId="18711433" w14:textId="52CE68A0" w:rsidR="00336A0B" w:rsidRPr="00336A0B" w:rsidRDefault="00336A0B" w:rsidP="00982D3E">
      <w:pPr>
        <w:jc w:val="both"/>
        <w:rPr>
          <w:rFonts w:ascii="Times New Roman" w:hAnsi="Times New Roman" w:cs="Times New Roman"/>
        </w:rPr>
      </w:pPr>
      <w:r>
        <w:rPr>
          <w:rFonts w:ascii="Times New Roman" w:hAnsi="Times New Roman" w:cs="Times New Roman"/>
        </w:rPr>
        <w:t xml:space="preserve"> Fig. 4. Distribución de la latencia de detección–actuación del sistema.</w:t>
      </w:r>
    </w:p>
    <w:p w14:paraId="25DC605C" w14:textId="70B731C1" w:rsidR="00982D3E" w:rsidRPr="00336A0B" w:rsidRDefault="00336A0B" w:rsidP="00982D3E">
      <w:pPr>
        <w:jc w:val="both"/>
        <w:rPr>
          <w:rFonts w:ascii="Times New Roman" w:hAnsi="Times New Roman" w:cs="Times New Roman"/>
        </w:rPr>
      </w:pPr>
      <w:r>
        <w:rPr>
          <w:rFonts w:ascii="Times New Roman" w:hAnsi="Times New Roman" w:cs="Times New Roman"/>
        </w:rPr>
        <w:t>La Tabla III resume los indicadores globales del sistema durante el experimento.</w:t>
      </w:r>
    </w:p>
    <w:tbl>
      <w:tblPr>
        <w:tblpPr w:leftFromText="141" w:rightFromText="141" w:vertAnchor="text" w:horzAnchor="margin" w:tblpXSpec="right" w:tblpY="-45"/>
        <w:tblW w:w="4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2553"/>
      </w:tblGrid>
      <w:tr w:rsidR="00982D3E" w14:paraId="6D670F16" w14:textId="77777777" w:rsidTr="00982D3E">
        <w:tc>
          <w:tcPr>
            <w:tcW w:w="2267" w:type="dxa"/>
            <w:tcBorders>
              <w:top w:val="single" w:sz="1" w:space="0" w:color="999999"/>
              <w:left w:val="single" w:sz="1" w:space="0" w:color="999999"/>
              <w:bottom w:val="single" w:sz="1" w:space="0" w:color="999999"/>
              <w:right w:val="single" w:sz="1" w:space="0" w:color="999999"/>
            </w:tcBorders>
            <w:shd w:val="clear" w:color="auto" w:fill="D9E6F2"/>
            <w:tcMar>
              <w:top w:w="60" w:type="dxa"/>
              <w:left w:w="80" w:type="dxa"/>
              <w:bottom w:w="60" w:type="dxa"/>
              <w:right w:w="80" w:type="dxa"/>
            </w:tcMar>
            <w:vAlign w:val="center"/>
          </w:tcPr>
          <w:p w14:paraId="1527DCF2" w14:textId="77777777" w:rsidR="00982D3E" w:rsidRPr="00982D3E" w:rsidRDefault="00982D3E" w:rsidP="00982D3E">
            <w:pPr>
              <w:widowControl w:val="0"/>
              <w:spacing w:after="0"/>
              <w:jc w:val="center"/>
              <w:rPr>
                <w:rFonts w:ascii="Times New Roman" w:hAnsi="Times New Roman" w:cs="Times New Roman"/>
                <w:sz w:val="18"/>
                <w:szCs w:val="18"/>
              </w:rPr>
            </w:pPr>
            <w:r>
              <w:rPr>
                <w:rFonts w:ascii="Times New Roman" w:hAnsi="Times New Roman" w:cs="Times New Roman"/>
                <w:sz w:val="18"/>
                <w:szCs w:val="18"/>
              </w:rPr>
              <w:t>Indicador global</w:t>
            </w:r>
          </w:p>
        </w:tc>
        <w:tc>
          <w:tcPr>
            <w:tcW w:w="2553" w:type="dxa"/>
            <w:tcBorders>
              <w:top w:val="single" w:sz="1" w:space="0" w:color="999999"/>
              <w:left w:val="single" w:sz="1" w:space="0" w:color="999999"/>
              <w:bottom w:val="single" w:sz="1" w:space="0" w:color="999999"/>
              <w:right w:val="single" w:sz="1" w:space="0" w:color="999999"/>
            </w:tcBorders>
            <w:shd w:val="clear" w:color="auto" w:fill="D9E6F2"/>
            <w:tcMar>
              <w:top w:w="60" w:type="dxa"/>
              <w:left w:w="80" w:type="dxa"/>
              <w:bottom w:w="60" w:type="dxa"/>
              <w:right w:w="80" w:type="dxa"/>
            </w:tcMar>
            <w:vAlign w:val="center"/>
          </w:tcPr>
          <w:p w14:paraId="3553DD8C" w14:textId="77777777" w:rsidR="00982D3E" w:rsidRPr="00982D3E" w:rsidRDefault="00982D3E" w:rsidP="00982D3E">
            <w:pPr>
              <w:widowControl w:val="0"/>
              <w:spacing w:after="0"/>
              <w:jc w:val="center"/>
              <w:rPr>
                <w:rFonts w:ascii="Times New Roman" w:hAnsi="Times New Roman" w:cs="Times New Roman"/>
                <w:sz w:val="18"/>
                <w:szCs w:val="18"/>
              </w:rPr>
            </w:pPr>
            <w:r>
              <w:rPr>
                <w:rFonts w:ascii="Times New Roman" w:hAnsi="Times New Roman" w:cs="Times New Roman"/>
                <w:sz w:val="18"/>
                <w:szCs w:val="18"/>
              </w:rPr>
              <w:t>Valor observado</w:t>
            </w:r>
          </w:p>
        </w:tc>
      </w:tr>
      <w:tr w:rsidR="00982D3E" w14:paraId="63CF706D" w14:textId="77777777" w:rsidTr="00982D3E">
        <w:tc>
          <w:tcPr>
            <w:tcW w:w="2267"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25BAA6EB" w14:textId="77777777" w:rsidR="00982D3E" w:rsidRPr="00982D3E" w:rsidRDefault="00982D3E" w:rsidP="00982D3E">
            <w:pPr>
              <w:widowControl w:val="0"/>
              <w:spacing w:after="0"/>
              <w:jc w:val="both"/>
              <w:rPr>
                <w:rFonts w:ascii="Times New Roman" w:hAnsi="Times New Roman" w:cs="Times New Roman"/>
                <w:sz w:val="18"/>
                <w:szCs w:val="18"/>
              </w:rPr>
            </w:pPr>
            <w:r>
              <w:rPr>
                <w:rFonts w:ascii="Times New Roman" w:hAnsi="Times New Roman" w:cs="Times New Roman"/>
                <w:sz w:val="18"/>
                <w:szCs w:val="18"/>
              </w:rPr>
              <w:t>Duración total del experimento</w:t>
            </w:r>
          </w:p>
        </w:tc>
        <w:tc>
          <w:tcPr>
            <w:tcW w:w="2553"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04A25CD1" w14:textId="77777777" w:rsidR="00982D3E" w:rsidRPr="00982D3E" w:rsidRDefault="00982D3E" w:rsidP="00982D3E">
            <w:pPr>
              <w:widowControl w:val="0"/>
              <w:spacing w:after="0"/>
              <w:jc w:val="both"/>
              <w:rPr>
                <w:rFonts w:ascii="Times New Roman" w:hAnsi="Times New Roman" w:cs="Times New Roman"/>
                <w:sz w:val="18"/>
                <w:szCs w:val="18"/>
              </w:rPr>
            </w:pPr>
            <w:r>
              <w:rPr>
                <w:rFonts w:ascii="Times New Roman" w:hAnsi="Times New Roman" w:cs="Times New Roman"/>
                <w:sz w:val="18"/>
                <w:szCs w:val="18"/>
              </w:rPr>
              <w:t>48 horas (15–17 jun. 2026)</w:t>
            </w:r>
          </w:p>
        </w:tc>
      </w:tr>
      <w:tr w:rsidR="00982D3E" w14:paraId="7AD7D7F9" w14:textId="77777777" w:rsidTr="00982D3E">
        <w:tc>
          <w:tcPr>
            <w:tcW w:w="2267"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2818EFC6" w14:textId="77777777" w:rsidR="00982D3E" w:rsidRPr="00982D3E" w:rsidRDefault="00982D3E" w:rsidP="00982D3E">
            <w:pPr>
              <w:widowControl w:val="0"/>
              <w:spacing w:after="0"/>
              <w:jc w:val="both"/>
              <w:rPr>
                <w:rFonts w:ascii="Times New Roman" w:hAnsi="Times New Roman" w:cs="Times New Roman"/>
                <w:sz w:val="18"/>
                <w:szCs w:val="18"/>
              </w:rPr>
            </w:pPr>
            <w:r>
              <w:rPr>
                <w:rFonts w:ascii="Times New Roman" w:hAnsi="Times New Roman" w:cs="Times New Roman"/>
                <w:sz w:val="18"/>
                <w:szCs w:val="18"/>
              </w:rPr>
              <w:t>Muestras totales registradas (3 zonas)</w:t>
            </w:r>
          </w:p>
        </w:tc>
        <w:tc>
          <w:tcPr>
            <w:tcW w:w="2553"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5FB3412A" w14:textId="77777777" w:rsidR="00982D3E" w:rsidRPr="00982D3E" w:rsidRDefault="00982D3E" w:rsidP="00982D3E">
            <w:pPr>
              <w:widowControl w:val="0"/>
              <w:spacing w:after="0"/>
              <w:jc w:val="both"/>
              <w:rPr>
                <w:rFonts w:ascii="Times New Roman" w:hAnsi="Times New Roman" w:cs="Times New Roman"/>
                <w:sz w:val="18"/>
                <w:szCs w:val="18"/>
              </w:rPr>
            </w:pPr>
            <w:r>
              <w:rPr>
                <w:rFonts w:ascii="Times New Roman" w:hAnsi="Times New Roman" w:cs="Times New Roman"/>
                <w:sz w:val="18"/>
                <w:szCs w:val="18"/>
              </w:rPr>
              <w:t>1728 (576 por zona, cada 5 min)</w:t>
            </w:r>
          </w:p>
        </w:tc>
      </w:tr>
      <w:tr w:rsidR="00982D3E" w14:paraId="35B3C90A" w14:textId="77777777" w:rsidTr="00982D3E">
        <w:tc>
          <w:tcPr>
            <w:tcW w:w="2267"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458564FE" w14:textId="77777777" w:rsidR="00982D3E" w:rsidRPr="00982D3E" w:rsidRDefault="00982D3E" w:rsidP="00982D3E">
            <w:pPr>
              <w:widowControl w:val="0"/>
              <w:spacing w:after="0"/>
              <w:jc w:val="both"/>
              <w:rPr>
                <w:rFonts w:ascii="Times New Roman" w:hAnsi="Times New Roman" w:cs="Times New Roman"/>
                <w:sz w:val="18"/>
                <w:szCs w:val="18"/>
              </w:rPr>
            </w:pPr>
            <w:r>
              <w:rPr>
                <w:rFonts w:ascii="Times New Roman" w:hAnsi="Times New Roman" w:cs="Times New Roman"/>
                <w:sz w:val="18"/>
                <w:szCs w:val="18"/>
              </w:rPr>
              <w:t>Eventos de alarma totales</w:t>
            </w:r>
          </w:p>
        </w:tc>
        <w:tc>
          <w:tcPr>
            <w:tcW w:w="2553"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29802FBA" w14:textId="77777777" w:rsidR="00982D3E" w:rsidRPr="00982D3E" w:rsidRDefault="00982D3E" w:rsidP="00982D3E">
            <w:pPr>
              <w:widowControl w:val="0"/>
              <w:spacing w:after="0"/>
              <w:jc w:val="both"/>
              <w:rPr>
                <w:rFonts w:ascii="Times New Roman" w:hAnsi="Times New Roman" w:cs="Times New Roman"/>
                <w:sz w:val="18"/>
                <w:szCs w:val="18"/>
              </w:rPr>
            </w:pPr>
            <w:r>
              <w:rPr>
                <w:rFonts w:ascii="Times New Roman" w:hAnsi="Times New Roman" w:cs="Times New Roman"/>
                <w:sz w:val="18"/>
                <w:szCs w:val="18"/>
              </w:rPr>
              <w:t>23</w:t>
            </w:r>
          </w:p>
        </w:tc>
      </w:tr>
      <w:tr w:rsidR="00982D3E" w14:paraId="2C832887" w14:textId="77777777" w:rsidTr="00982D3E">
        <w:tc>
          <w:tcPr>
            <w:tcW w:w="2267"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4D344FA3" w14:textId="77777777" w:rsidR="00982D3E" w:rsidRPr="00982D3E" w:rsidRDefault="00982D3E" w:rsidP="00982D3E">
            <w:pPr>
              <w:widowControl w:val="0"/>
              <w:spacing w:after="0"/>
              <w:jc w:val="both"/>
              <w:rPr>
                <w:rFonts w:ascii="Times New Roman" w:hAnsi="Times New Roman" w:cs="Times New Roman"/>
                <w:sz w:val="18"/>
                <w:szCs w:val="18"/>
              </w:rPr>
            </w:pPr>
            <w:r>
              <w:rPr>
                <w:rFonts w:ascii="Times New Roman" w:hAnsi="Times New Roman" w:cs="Times New Roman"/>
                <w:sz w:val="18"/>
                <w:szCs w:val="18"/>
              </w:rPr>
              <w:t>Tasa de error de lectura del sensor (promedio)</w:t>
            </w:r>
          </w:p>
        </w:tc>
        <w:tc>
          <w:tcPr>
            <w:tcW w:w="2553"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6ADFF33C" w14:textId="77777777" w:rsidR="00982D3E" w:rsidRPr="00982D3E" w:rsidRDefault="00982D3E" w:rsidP="00982D3E">
            <w:pPr>
              <w:widowControl w:val="0"/>
              <w:spacing w:after="0"/>
              <w:jc w:val="both"/>
              <w:rPr>
                <w:rFonts w:ascii="Times New Roman" w:hAnsi="Times New Roman" w:cs="Times New Roman"/>
                <w:sz w:val="18"/>
                <w:szCs w:val="18"/>
              </w:rPr>
            </w:pPr>
            <w:r>
              <w:rPr>
                <w:rFonts w:ascii="Times New Roman" w:hAnsi="Times New Roman" w:cs="Times New Roman"/>
                <w:sz w:val="18"/>
                <w:szCs w:val="18"/>
              </w:rPr>
              <w:t>2.4 %</w:t>
            </w:r>
          </w:p>
        </w:tc>
      </w:tr>
      <w:tr w:rsidR="00982D3E" w14:paraId="2AA4F171" w14:textId="77777777" w:rsidTr="00982D3E">
        <w:tc>
          <w:tcPr>
            <w:tcW w:w="2267"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3EB693E4" w14:textId="77777777" w:rsidR="00982D3E" w:rsidRPr="00982D3E" w:rsidRDefault="00982D3E" w:rsidP="00982D3E">
            <w:pPr>
              <w:widowControl w:val="0"/>
              <w:spacing w:after="0"/>
              <w:jc w:val="both"/>
              <w:rPr>
                <w:rFonts w:ascii="Times New Roman" w:hAnsi="Times New Roman" w:cs="Times New Roman"/>
                <w:sz w:val="18"/>
                <w:szCs w:val="18"/>
              </w:rPr>
            </w:pPr>
            <w:r>
              <w:rPr>
                <w:rFonts w:ascii="Times New Roman" w:hAnsi="Times New Roman" w:cs="Times New Roman"/>
                <w:sz w:val="18"/>
                <w:szCs w:val="18"/>
              </w:rPr>
              <w:t>Disponibilidad efectiva del sistema</w:t>
            </w:r>
          </w:p>
        </w:tc>
        <w:tc>
          <w:tcPr>
            <w:tcW w:w="2553"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7D546B4A" w14:textId="77777777" w:rsidR="00982D3E" w:rsidRPr="00982D3E" w:rsidRDefault="00982D3E" w:rsidP="00982D3E">
            <w:pPr>
              <w:widowControl w:val="0"/>
              <w:spacing w:after="0"/>
              <w:jc w:val="both"/>
              <w:rPr>
                <w:rFonts w:ascii="Times New Roman" w:hAnsi="Times New Roman" w:cs="Times New Roman"/>
                <w:sz w:val="18"/>
                <w:szCs w:val="18"/>
              </w:rPr>
            </w:pPr>
            <w:r>
              <w:rPr>
                <w:rFonts w:ascii="Times New Roman" w:hAnsi="Times New Roman" w:cs="Times New Roman"/>
                <w:sz w:val="18"/>
                <w:szCs w:val="18"/>
              </w:rPr>
              <w:t>≈ 97.6 %</w:t>
            </w:r>
          </w:p>
        </w:tc>
      </w:tr>
      <w:tr w:rsidR="00982D3E" w14:paraId="0994375A" w14:textId="77777777" w:rsidTr="00982D3E">
        <w:tc>
          <w:tcPr>
            <w:tcW w:w="2267"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14CF43C3" w14:textId="77777777" w:rsidR="00982D3E" w:rsidRPr="00982D3E" w:rsidRDefault="00982D3E" w:rsidP="00982D3E">
            <w:pPr>
              <w:widowControl w:val="0"/>
              <w:spacing w:after="0"/>
              <w:jc w:val="both"/>
              <w:rPr>
                <w:rFonts w:ascii="Times New Roman" w:hAnsi="Times New Roman" w:cs="Times New Roman"/>
                <w:sz w:val="18"/>
                <w:szCs w:val="18"/>
              </w:rPr>
            </w:pPr>
            <w:r>
              <w:rPr>
                <w:rFonts w:ascii="Times New Roman" w:hAnsi="Times New Roman" w:cs="Times New Roman"/>
                <w:sz w:val="18"/>
                <w:szCs w:val="18"/>
              </w:rPr>
              <w:t>Latencia promedio detección → actuación</w:t>
            </w:r>
          </w:p>
        </w:tc>
        <w:tc>
          <w:tcPr>
            <w:tcW w:w="2553"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vAlign w:val="center"/>
          </w:tcPr>
          <w:p w14:paraId="6E673CCB" w14:textId="77777777" w:rsidR="00982D3E" w:rsidRPr="00982D3E" w:rsidRDefault="00982D3E" w:rsidP="00982D3E">
            <w:pPr>
              <w:widowControl w:val="0"/>
              <w:spacing w:after="0"/>
              <w:jc w:val="both"/>
              <w:rPr>
                <w:rFonts w:ascii="Times New Roman" w:hAnsi="Times New Roman" w:cs="Times New Roman"/>
                <w:sz w:val="18"/>
                <w:szCs w:val="18"/>
              </w:rPr>
            </w:pPr>
            <w:r>
              <w:rPr>
                <w:rFonts w:ascii="Times New Roman" w:hAnsi="Times New Roman" w:cs="Times New Roman"/>
                <w:sz w:val="18"/>
                <w:szCs w:val="18"/>
              </w:rPr>
              <w:t>2.20 s (σ = 0.28 s)</w:t>
            </w:r>
          </w:p>
        </w:tc>
      </w:tr>
    </w:tbl>
    <w:p w14:paraId="677A638F" w14:textId="77777777" w:rsidR="00336A0B" w:rsidRPr="00336A0B" w:rsidRDefault="00336A0B" w:rsidP="00982D3E">
      <w:pPr>
        <w:jc w:val="both"/>
        <w:rPr>
          <w:rFonts w:ascii="Times New Roman" w:hAnsi="Times New Roman" w:cs="Times New Roman"/>
        </w:rPr>
      </w:pPr>
      <w:r>
        <w:rPr>
          <w:rFonts w:ascii="Times New Roman" w:hAnsi="Times New Roman" w:cs="Times New Roman"/>
        </w:rPr>
        <w:t xml:space="preserve">TABLA III — INDICADORES GLOBALES DEL SISTEMA </w:t>
      </w:r>
    </w:p>
    <w:p w14:paraId="07349C15" w14:textId="514BFF78" w:rsidR="00336A0B" w:rsidRPr="00336A0B" w:rsidRDefault="00336A0B" w:rsidP="00982D3E">
      <w:pPr>
        <w:jc w:val="both"/>
        <w:rPr>
          <w:rFonts w:ascii="Times New Roman" w:hAnsi="Times New Roman" w:cs="Times New Roman"/>
        </w:rPr>
      </w:pPr>
      <w:r>
        <w:rPr>
          <w:rFonts w:ascii="Times New Roman" w:hAnsi="Times New Roman" w:cs="Times New Roman"/>
        </w:rPr>
        <w:t>V. ANÁLISIS DE IMPACTO PRELIMINAR</w:t>
      </w:r>
    </w:p>
    <w:p w14:paraId="2B302941" w14:textId="550C3B4E" w:rsidR="00336A0B" w:rsidRPr="00336A0B" w:rsidRDefault="00336A0B" w:rsidP="00982D3E">
      <w:pPr>
        <w:jc w:val="both"/>
        <w:rPr>
          <w:rFonts w:ascii="Times New Roman" w:hAnsi="Times New Roman" w:cs="Times New Roman"/>
        </w:rPr>
      </w:pPr>
      <w:r>
        <w:rPr>
          <w:rFonts w:ascii="Times New Roman" w:hAnsi="Times New Roman" w:cs="Times New Roman"/>
        </w:rPr>
        <w:t>Los resultados experimentales sugieren que un sistema de monitoreo multizona de bajo costo puede aportar valor concreto a la seguridad alimentaria en entornos gastronómicos pequeños y medianos, donde el control térmico manual es la práctica habitual. La diferenciación de umbrales por zona permitió detectar 23 eventos de riesgo térmico en 48 horas que, en un esquema de inspección manual periódica, probablemente habrían pasado inadvertidos hasta una revisión posterior.</w:t>
      </w:r>
    </w:p>
    <w:p w14:paraId="565D1327" w14:textId="736DC42F" w:rsidR="00336A0B" w:rsidRPr="00336A0B" w:rsidRDefault="00336A0B" w:rsidP="00982D3E">
      <w:pPr>
        <w:jc w:val="both"/>
        <w:rPr>
          <w:rFonts w:ascii="Times New Roman" w:hAnsi="Times New Roman" w:cs="Times New Roman"/>
        </w:rPr>
      </w:pPr>
      <w:r>
        <w:rPr>
          <w:rFonts w:ascii="Times New Roman" w:hAnsi="Times New Roman" w:cs="Times New Roman"/>
        </w:rPr>
        <w:t>La latencia de actuación observada (≈2.2 s) es adecuada para activar mecanismos de mitigación de bajo costo como la ventilación forzada, aunque insuficiente como única defensa ante fallas prolongadas de refrigeración, donde se requeriría además una alerta remota (Sección VI). La tasa de error de lectura del sensor (≈2.4%) es consistente con el comportamiento documentado del DHT11 y debe gestionarse mediante lógica de retención del último estado válido, como se implementó en el firmware.</w:t>
      </w:r>
    </w:p>
    <w:p w14:paraId="6E07C93C" w14:textId="6B947A27" w:rsidR="00336A0B" w:rsidRPr="00336A0B" w:rsidRDefault="00336A0B" w:rsidP="00982D3E">
      <w:pPr>
        <w:jc w:val="both"/>
        <w:rPr>
          <w:rFonts w:ascii="Times New Roman" w:hAnsi="Times New Roman" w:cs="Times New Roman"/>
        </w:rPr>
      </w:pPr>
      <w:r>
        <w:rPr>
          <w:rFonts w:ascii="Times New Roman" w:hAnsi="Times New Roman" w:cs="Times New Roman"/>
        </w:rPr>
        <w:lastRenderedPageBreak/>
        <w:t>Desde una perspectiva de impacto económico, la detección temprana de desviaciones térmicas en el almacén seco y la cámara de refrigerados puede traducirse en una reducción de mermas de inventario, mientras que el monitoreo de la línea de preparación aporta un indicador objetivo de confort térmico y riesgo operativo para el personal de cocina.</w:t>
      </w:r>
    </w:p>
    <w:p w14:paraId="5011EAD1" w14:textId="1A4D9E94" w:rsidR="00336A0B" w:rsidRPr="00336A0B" w:rsidRDefault="00336A0B" w:rsidP="00982D3E">
      <w:pPr>
        <w:jc w:val="both"/>
        <w:rPr>
          <w:rFonts w:ascii="Times New Roman" w:hAnsi="Times New Roman" w:cs="Times New Roman"/>
        </w:rPr>
      </w:pPr>
      <w:r>
        <w:rPr>
          <w:rFonts w:ascii="Times New Roman" w:hAnsi="Times New Roman" w:cs="Times New Roman"/>
        </w:rPr>
        <w:t>VI. PROYECCIÓN HACIA IOT/IA</w:t>
      </w:r>
    </w:p>
    <w:p w14:paraId="5A6A297E" w14:textId="77777777" w:rsidR="00336A0B" w:rsidRPr="00336A0B" w:rsidRDefault="00336A0B" w:rsidP="00982D3E">
      <w:pPr>
        <w:jc w:val="both"/>
        <w:rPr>
          <w:rFonts w:ascii="Times New Roman" w:hAnsi="Times New Roman" w:cs="Times New Roman"/>
        </w:rPr>
      </w:pPr>
      <w:r>
        <w:rPr>
          <w:rFonts w:ascii="Times New Roman" w:hAnsi="Times New Roman" w:cs="Times New Roman"/>
        </w:rPr>
        <w:t>El prototipo actual opera de forma autónoma sobre ESP32; su conectividad WiFi nativa aún no se explota por completo, ya que el registro histórico y la visualización remota se encuentran en fase de integración. Como evolución natural se proyectan las siguientes líneas de trabajo:</w:t>
      </w:r>
    </w:p>
    <w:p w14:paraId="228A9C00" w14:textId="3A1F2906" w:rsidR="00336A0B" w:rsidRPr="00336A0B" w:rsidRDefault="00336A0B" w:rsidP="00982D3E">
      <w:pPr>
        <w:jc w:val="both"/>
        <w:rPr>
          <w:rFonts w:ascii="Times New Roman" w:hAnsi="Times New Roman" w:cs="Times New Roman"/>
        </w:rPr>
      </w:pPr>
      <w:r>
        <w:rPr>
          <w:rFonts w:ascii="Times New Roman" w:hAnsi="Times New Roman" w:cs="Times New Roman"/>
        </w:rPr>
        <w:t>Conectividad IoT: aprovechar la conectividad WiFi nativa del ESP32 para publicar las lecturas a un servidor en la nube o broker MQTT, completando el dashboard web y el sistema de notificaciones ya esbozados en el prototipo, habilitando monitoreo remoto en tiempo real.</w:t>
      </w:r>
    </w:p>
    <w:p w14:paraId="3A8F64DF" w14:textId="77777777" w:rsidR="00336A0B" w:rsidRPr="00336A0B" w:rsidRDefault="00336A0B" w:rsidP="00982D3E">
      <w:pPr>
        <w:jc w:val="both"/>
        <w:rPr>
          <w:rFonts w:ascii="Times New Roman" w:hAnsi="Times New Roman" w:cs="Times New Roman"/>
        </w:rPr>
      </w:pPr>
      <w:r>
        <w:rPr>
          <w:rFonts w:ascii="Times New Roman" w:hAnsi="Times New Roman" w:cs="Times New Roman"/>
        </w:rPr>
        <w:t>Sensores de mayor rango y precisión: sustituir el DHT11 por sensores DS18B20 o DHT22, especialmente en zonas de refrigeración/congelación, donde el rango 0–50 °C del DHT11 resulta insuficiente.</w:t>
      </w:r>
    </w:p>
    <w:p w14:paraId="4BB75DCA" w14:textId="58759296" w:rsidR="00336A0B" w:rsidRPr="00336A0B" w:rsidRDefault="00336A0B" w:rsidP="00982D3E">
      <w:pPr>
        <w:jc w:val="both"/>
        <w:rPr>
          <w:rFonts w:ascii="Times New Roman" w:hAnsi="Times New Roman" w:cs="Times New Roman"/>
        </w:rPr>
      </w:pPr>
      <w:r>
        <w:rPr>
          <w:rFonts w:ascii="Times New Roman" w:hAnsi="Times New Roman" w:cs="Times New Roman"/>
        </w:rPr>
        <w:t>Registro histórico y dashboard: almacenar series temporales en una base de datos (p. ej. InfluxDB o una base relacional) para análisis retrospectivo y generación de reportes de cumplimiento sanitario.</w:t>
      </w:r>
    </w:p>
    <w:p w14:paraId="1847E9DF" w14:textId="3185624E" w:rsidR="00336A0B" w:rsidRPr="00336A0B" w:rsidRDefault="00336A0B" w:rsidP="00982D3E">
      <w:pPr>
        <w:jc w:val="both"/>
        <w:rPr>
          <w:rFonts w:ascii="Times New Roman" w:hAnsi="Times New Roman" w:cs="Times New Roman"/>
        </w:rPr>
      </w:pPr>
      <w:r>
        <w:rPr>
          <w:rFonts w:ascii="Times New Roman" w:hAnsi="Times New Roman" w:cs="Times New Roman"/>
        </w:rPr>
        <w:t>Mantenimiento predictivo con IA: aplicar modelos de detección de anomalías o series de tiempo (p. ej. ARIMA, Prophet o modelos de aprendizaje automático ligero embebido) sobre el histórico de temperatura para anticipar fallas de refrigeración antes de que se traduzcan en una violación de umbral.</w:t>
      </w:r>
    </w:p>
    <w:p w14:paraId="519E8648" w14:textId="65190DB2" w:rsidR="00336A0B" w:rsidRPr="00336A0B" w:rsidRDefault="00336A0B" w:rsidP="00982D3E">
      <w:pPr>
        <w:jc w:val="both"/>
        <w:rPr>
          <w:rFonts w:ascii="Times New Roman" w:hAnsi="Times New Roman" w:cs="Times New Roman"/>
        </w:rPr>
      </w:pPr>
      <w:r>
        <w:rPr>
          <w:rFonts w:ascii="Times New Roman" w:hAnsi="Times New Roman" w:cs="Times New Roman"/>
        </w:rPr>
        <w:t>Alertas multicanal: extender la notificación local (LED, LCD) a canales remotos (SMS, correo, aplicación móvil) para escenarios fuera del horario de atención del establecimiento.</w:t>
      </w:r>
    </w:p>
    <w:p w14:paraId="0C4F6199" w14:textId="0D2F4AD2" w:rsidR="00336A0B" w:rsidRPr="00336A0B" w:rsidRDefault="00336A0B" w:rsidP="00982D3E">
      <w:pPr>
        <w:jc w:val="both"/>
        <w:rPr>
          <w:rFonts w:ascii="Times New Roman" w:hAnsi="Times New Roman" w:cs="Times New Roman"/>
        </w:rPr>
      </w:pPr>
      <w:r>
        <w:rPr>
          <w:rFonts w:ascii="Times New Roman" w:hAnsi="Times New Roman" w:cs="Times New Roman"/>
        </w:rPr>
        <w:t>VII. CONCLUSIONES TENTATIVAS</w:t>
      </w:r>
    </w:p>
    <w:p w14:paraId="65F34A51" w14:textId="2EC95A6D" w:rsidR="00336A0B" w:rsidRPr="00336A0B" w:rsidRDefault="00336A0B" w:rsidP="00982D3E">
      <w:pPr>
        <w:jc w:val="both"/>
        <w:rPr>
          <w:rFonts w:ascii="Times New Roman" w:hAnsi="Times New Roman" w:cs="Times New Roman"/>
        </w:rPr>
      </w:pPr>
      <w:r>
        <w:rPr>
          <w:rFonts w:ascii="Times New Roman" w:hAnsi="Times New Roman" w:cs="Times New Roman"/>
        </w:rPr>
        <w:t>Se presentó el diseño y la evaluación experimental preliminar de un sistema multizona de monitoreo térmico para almacenamiento de alimentos, construido sobre un ESP32 y sensores DHT11, con lógica de alarma y actuación diferenciada por zona. El experimento de simulación de 48 horas permitió caracterizar el comportamiento térmico de tres zonas representativas, evidenciando que la línea de preparación concentra el mayor riesgo térmico y que el sistema mantiene una disponibilidad efectiva cercana al 97.6% con una latencia de actuación del orden de 2.2 segundos.</w:t>
      </w:r>
    </w:p>
    <w:p w14:paraId="0A684DF8" w14:textId="03971BA7" w:rsidR="00336A0B" w:rsidRPr="00336A0B" w:rsidRDefault="00336A0B" w:rsidP="00982D3E">
      <w:pPr>
        <w:jc w:val="both"/>
        <w:rPr>
          <w:rFonts w:ascii="Times New Roman" w:hAnsi="Times New Roman" w:cs="Times New Roman"/>
        </w:rPr>
      </w:pPr>
      <w:r>
        <w:rPr>
          <w:rFonts w:ascii="Times New Roman" w:hAnsi="Times New Roman" w:cs="Times New Roman"/>
        </w:rPr>
        <w:t>Estos resultados, aunque obtenidos sobre datos simulados de forma representativa y no sobre despliegue real prolongado, validan la viabilidad funcional de la arquitectura multizona propuesta y sientan una base experimental para las mejoras planificadas hacia la semana 15, en particular la validación con datos de sensores reales durante un periodo de operación continua y la incorporación de la capa de conectividad IoT descrita en la Sección VI.</w:t>
      </w:r>
    </w:p>
    <w:p w14:paraId="05ED6CA2" w14:textId="6A561601" w:rsidR="00336A0B" w:rsidRPr="00336A0B" w:rsidRDefault="00336A0B" w:rsidP="00982D3E">
      <w:pPr>
        <w:jc w:val="both"/>
        <w:rPr>
          <w:rFonts w:ascii="Times New Roman" w:hAnsi="Times New Roman" w:cs="Times New Roman"/>
        </w:rPr>
      </w:pPr>
      <w:r>
        <w:rPr>
          <w:rFonts w:ascii="Times New Roman" w:hAnsi="Times New Roman" w:cs="Times New Roman"/>
        </w:rPr>
        <w:t>REFERENCIAS</w:t>
      </w:r>
    </w:p>
    <w:p w14:paraId="006D3702" w14:textId="77777777" w:rsidR="00336A0B" w:rsidRPr="00336A0B" w:rsidRDefault="00336A0B" w:rsidP="00982D3E">
      <w:pPr>
        <w:jc w:val="both"/>
        <w:rPr>
          <w:rFonts w:ascii="Times New Roman" w:hAnsi="Times New Roman" w:cs="Times New Roman"/>
        </w:rPr>
      </w:pPr>
      <w:r>
        <w:rPr>
          <w:rFonts w:ascii="Times New Roman" w:hAnsi="Times New Roman" w:cs="Times New Roman"/>
        </w:rPr>
        <w:t>[1] Aosong Electronics, "DHT11 Humidity and Temperature Sensor — Datasheet," Guangzhou, China.</w:t>
      </w:r>
    </w:p>
    <w:p w14:paraId="78E3E505" w14:textId="77777777" w:rsidR="00336A0B" w:rsidRPr="00336A0B" w:rsidRDefault="00336A0B" w:rsidP="00982D3E">
      <w:pPr>
        <w:jc w:val="both"/>
        <w:rPr>
          <w:rFonts w:ascii="Times New Roman" w:hAnsi="Times New Roman" w:cs="Times New Roman"/>
        </w:rPr>
      </w:pPr>
      <w:r>
        <w:rPr>
          <w:rFonts w:ascii="Times New Roman" w:hAnsi="Times New Roman" w:cs="Times New Roman"/>
        </w:rPr>
        <w:t xml:space="preserve">[2] Espressif Systems, "ESP32 Series Datasheet," </w:t>
      </w:r>
      <w:proofErr w:type="spellStart"/>
      <w:r>
        <w:rPr>
          <w:rFonts w:ascii="Times New Roman" w:hAnsi="Times New Roman" w:cs="Times New Roman"/>
        </w:rPr>
        <w:t>Shanghai</w:t>
      </w:r>
      <w:proofErr w:type="spellEnd"/>
      <w:r>
        <w:rPr>
          <w:rFonts w:ascii="Times New Roman" w:hAnsi="Times New Roman" w:cs="Times New Roman"/>
        </w:rPr>
        <w:t>, China.</w:t>
      </w:r>
    </w:p>
    <w:p w14:paraId="59D5F1D8" w14:textId="77777777" w:rsidR="00336A0B" w:rsidRPr="00336A0B" w:rsidRDefault="00336A0B" w:rsidP="00982D3E">
      <w:pPr>
        <w:jc w:val="both"/>
        <w:rPr>
          <w:rFonts w:ascii="Times New Roman" w:hAnsi="Times New Roman" w:cs="Times New Roman"/>
        </w:rPr>
      </w:pPr>
      <w:r>
        <w:rPr>
          <w:rFonts w:ascii="Times New Roman" w:hAnsi="Times New Roman" w:cs="Times New Roman"/>
        </w:rPr>
        <w:t>[3] Codex Alimentarius / FAO–OMS, "Código de Prácticas de Higiene de los Alimentos," Roma.</w:t>
      </w:r>
    </w:p>
    <w:p w14:paraId="20EA3D66" w14:textId="7FABC89A" w:rsidR="00336A0B" w:rsidRPr="00336A0B" w:rsidRDefault="00336A0B" w:rsidP="00982D3E">
      <w:pPr>
        <w:jc w:val="both"/>
        <w:rPr>
          <w:rFonts w:ascii="Times New Roman" w:hAnsi="Times New Roman" w:cs="Times New Roman"/>
        </w:rPr>
      </w:pPr>
      <w:r>
        <w:rPr>
          <w:rFonts w:ascii="Times New Roman" w:hAnsi="Times New Roman" w:cs="Times New Roman"/>
        </w:rPr>
        <w:t xml:space="preserve">[4] S. </w:t>
      </w:r>
      <w:proofErr w:type="spellStart"/>
      <w:r>
        <w:rPr>
          <w:rFonts w:ascii="Times New Roman" w:hAnsi="Times New Roman" w:cs="Times New Roman"/>
        </w:rPr>
        <w:t>Budijono</w:t>
      </w:r>
      <w:proofErr w:type="spellEnd"/>
      <w:r>
        <w:rPr>
          <w:rFonts w:ascii="Times New Roman" w:hAnsi="Times New Roman" w:cs="Times New Roman"/>
        </w:rPr>
        <w:t xml:space="preserve"> and Felita, "Smart Temperature </w:t>
      </w:r>
      <w:proofErr w:type="spellStart"/>
      <w:r>
        <w:rPr>
          <w:rFonts w:ascii="Times New Roman" w:hAnsi="Times New Roman" w:cs="Times New Roman"/>
        </w:rPr>
        <w:t>Monitoring</w:t>
      </w:r>
      <w:proofErr w:type="spellEnd"/>
      <w:r>
        <w:rPr>
          <w:rFonts w:ascii="Times New Roman" w:hAnsi="Times New Roman" w:cs="Times New Roman"/>
        </w:rPr>
        <w:t xml:space="preserve"> </w:t>
      </w:r>
      <w:proofErr w:type="spellStart"/>
      <w:r>
        <w:rPr>
          <w:rFonts w:ascii="Times New Roman" w:hAnsi="Times New Roman" w:cs="Times New Roman"/>
        </w:rPr>
        <w:t>System</w:t>
      </w:r>
      <w:proofErr w:type="spellEnd"/>
      <w:r>
        <w:rPr>
          <w:rFonts w:ascii="Times New Roman" w:hAnsi="Times New Roman" w:cs="Times New Roman"/>
        </w:rPr>
        <w:t xml:space="preserve"> </w:t>
      </w:r>
      <w:proofErr w:type="spellStart"/>
      <w:r>
        <w:rPr>
          <w:rFonts w:ascii="Times New Roman" w:hAnsi="Times New Roman" w:cs="Times New Roman"/>
        </w:rPr>
        <w:t>Using</w:t>
      </w:r>
      <w:proofErr w:type="spellEnd"/>
      <w:r>
        <w:rPr>
          <w:rFonts w:ascii="Times New Roman" w:hAnsi="Times New Roman" w:cs="Times New Roman"/>
        </w:rPr>
        <w:t xml:space="preserve"> ESP32 and DS18B20," </w:t>
      </w:r>
      <w:r>
        <w:rPr>
          <w:rFonts w:ascii="Times New Roman" w:hAnsi="Times New Roman" w:cs="Times New Roman"/>
        </w:rPr>
        <w:lastRenderedPageBreak/>
        <w:t xml:space="preserve">in </w:t>
      </w:r>
      <w:proofErr w:type="spellStart"/>
      <w:r>
        <w:rPr>
          <w:rFonts w:ascii="Times New Roman" w:hAnsi="Times New Roman" w:cs="Times New Roman"/>
        </w:rPr>
        <w:t>Proc</w:t>
      </w:r>
      <w:proofErr w:type="spellEnd"/>
      <w:r>
        <w:rPr>
          <w:rFonts w:ascii="Times New Roman" w:hAnsi="Times New Roman" w:cs="Times New Roman"/>
        </w:rPr>
        <w:t xml:space="preserve">. 4th </w:t>
      </w:r>
      <w:proofErr w:type="spellStart"/>
      <w:r>
        <w:rPr>
          <w:rFonts w:ascii="Times New Roman" w:hAnsi="Times New Roman" w:cs="Times New Roman"/>
        </w:rPr>
        <w:t>Int</w:t>
      </w:r>
      <w:proofErr w:type="spellEnd"/>
      <w:r>
        <w:rPr>
          <w:rFonts w:ascii="Times New Roman" w:hAnsi="Times New Roman" w:cs="Times New Roman"/>
        </w:rPr>
        <w:t xml:space="preserve">. Conf. on Eco </w:t>
      </w:r>
      <w:proofErr w:type="spellStart"/>
      <w:r>
        <w:rPr>
          <w:rFonts w:ascii="Times New Roman" w:hAnsi="Times New Roman" w:cs="Times New Roman"/>
        </w:rPr>
        <w:t>Engineering</w:t>
      </w:r>
      <w:proofErr w:type="spellEnd"/>
      <w:r>
        <w:rPr>
          <w:rFonts w:ascii="Times New Roman" w:hAnsi="Times New Roman" w:cs="Times New Roman"/>
        </w:rPr>
        <w:t xml:space="preserve"> </w:t>
      </w:r>
      <w:proofErr w:type="spellStart"/>
      <w:r>
        <w:rPr>
          <w:rFonts w:ascii="Times New Roman" w:hAnsi="Times New Roman" w:cs="Times New Roman"/>
        </w:rPr>
        <w:t>Development</w:t>
      </w:r>
      <w:proofErr w:type="spellEnd"/>
      <w:r>
        <w:rPr>
          <w:rFonts w:ascii="Times New Roman" w:hAnsi="Times New Roman" w:cs="Times New Roman"/>
        </w:rPr>
        <w:t xml:space="preserve"> (ICEED), 2020.</w:t>
      </w:r>
    </w:p>
    <w:p w14:paraId="20EA3D67" w14:textId="7FABC89B" w:rsidR="00336A0B" w:rsidRPr="00336A0B" w:rsidRDefault="00336A0B" w:rsidP="00982D3E">
      <w:pPr>
        <w:jc w:val="both"/>
        <w:rPr>
          <w:rFonts w:ascii="Times New Roman" w:hAnsi="Times New Roman" w:cs="Times New Roman"/>
        </w:rPr>
      </w:pPr>
      <w:r>
        <w:rPr>
          <w:rFonts w:ascii="Times New Roman" w:hAnsi="Times New Roman" w:cs="Times New Roman"/>
        </w:rPr>
        <w:t>[5] J. Müller et al., "</w:t>
      </w:r>
      <w:proofErr w:type="spellStart"/>
      <w:r>
        <w:rPr>
          <w:rFonts w:ascii="Times New Roman" w:hAnsi="Times New Roman" w:cs="Times New Roman"/>
        </w:rPr>
        <w:t>Enhancing</w:t>
      </w:r>
      <w:proofErr w:type="spellEnd"/>
      <w:r>
        <w:rPr>
          <w:rFonts w:ascii="Times New Roman" w:hAnsi="Times New Roman" w:cs="Times New Roman"/>
        </w:rPr>
        <w:t xml:space="preserve"> </w:t>
      </w:r>
      <w:proofErr w:type="spellStart"/>
      <w:r>
        <w:rPr>
          <w:rFonts w:ascii="Times New Roman" w:hAnsi="Times New Roman" w:cs="Times New Roman"/>
        </w:rPr>
        <w:t>Food</w:t>
      </w:r>
      <w:proofErr w:type="spellEnd"/>
      <w:r>
        <w:rPr>
          <w:rFonts w:ascii="Times New Roman" w:hAnsi="Times New Roman" w:cs="Times New Roman"/>
        </w:rPr>
        <w:t xml:space="preserve"> Safety in </w:t>
      </w:r>
      <w:proofErr w:type="spellStart"/>
      <w:r>
        <w:rPr>
          <w:rFonts w:ascii="Times New Roman" w:hAnsi="Times New Roman" w:cs="Times New Roman"/>
        </w:rPr>
        <w:t>the</w:t>
      </w:r>
      <w:proofErr w:type="spellEnd"/>
      <w:r>
        <w:rPr>
          <w:rFonts w:ascii="Times New Roman" w:hAnsi="Times New Roman" w:cs="Times New Roman"/>
        </w:rPr>
        <w:t xml:space="preserve"> </w:t>
      </w:r>
      <w:proofErr w:type="spellStart"/>
      <w:r>
        <w:rPr>
          <w:rFonts w:ascii="Times New Roman" w:hAnsi="Times New Roman" w:cs="Times New Roman"/>
        </w:rPr>
        <w:t>Cold</w:t>
      </w:r>
      <w:proofErr w:type="spellEnd"/>
      <w:r>
        <w:rPr>
          <w:rFonts w:ascii="Times New Roman" w:hAnsi="Times New Roman" w:cs="Times New Roman"/>
        </w:rPr>
        <w:t xml:space="preserve"> Chain </w:t>
      </w:r>
      <w:proofErr w:type="spellStart"/>
      <w:r>
        <w:rPr>
          <w:rFonts w:ascii="Times New Roman" w:hAnsi="Times New Roman" w:cs="Times New Roman"/>
        </w:rPr>
        <w:t>Through</w:t>
      </w:r>
      <w:proofErr w:type="spellEnd"/>
      <w:r>
        <w:rPr>
          <w:rFonts w:ascii="Times New Roman" w:hAnsi="Times New Roman" w:cs="Times New Roman"/>
        </w:rPr>
        <w:t xml:space="preserve"> Internet of </w:t>
      </w:r>
      <w:proofErr w:type="spellStart"/>
      <w:r>
        <w:rPr>
          <w:rFonts w:ascii="Times New Roman" w:hAnsi="Times New Roman" w:cs="Times New Roman"/>
        </w:rPr>
        <w:t>Things</w:t>
      </w:r>
      <w:proofErr w:type="spellEnd"/>
      <w:r>
        <w:rPr>
          <w:rFonts w:ascii="Times New Roman" w:hAnsi="Times New Roman" w:cs="Times New Roman"/>
        </w:rPr>
        <w:t xml:space="preserve"> and Artificial </w:t>
      </w:r>
      <w:proofErr w:type="spellStart"/>
      <w:r>
        <w:rPr>
          <w:rFonts w:ascii="Times New Roman" w:hAnsi="Times New Roman" w:cs="Times New Roman"/>
        </w:rPr>
        <w:t>Intelligence</w:t>
      </w:r>
      <w:proofErr w:type="spellEnd"/>
      <w:r>
        <w:rPr>
          <w:rFonts w:ascii="Times New Roman" w:hAnsi="Times New Roman" w:cs="Times New Roman"/>
        </w:rPr>
        <w:t xml:space="preserve">," </w:t>
      </w:r>
      <w:proofErr w:type="spellStart"/>
      <w:r>
        <w:rPr>
          <w:rFonts w:ascii="Times New Roman" w:hAnsi="Times New Roman" w:cs="Times New Roman"/>
        </w:rPr>
        <w:t>Journal</w:t>
      </w:r>
      <w:proofErr w:type="spellEnd"/>
      <w:r>
        <w:rPr>
          <w:rFonts w:ascii="Times New Roman" w:hAnsi="Times New Roman" w:cs="Times New Roman"/>
        </w:rPr>
        <w:t xml:space="preserve"> of </w:t>
      </w:r>
      <w:proofErr w:type="spellStart"/>
      <w:r>
        <w:rPr>
          <w:rFonts w:ascii="Times New Roman" w:hAnsi="Times New Roman" w:cs="Times New Roman"/>
        </w:rPr>
        <w:t>Food</w:t>
      </w:r>
      <w:proofErr w:type="spellEnd"/>
      <w:r>
        <w:rPr>
          <w:rFonts w:ascii="Times New Roman" w:hAnsi="Times New Roman" w:cs="Times New Roman"/>
        </w:rPr>
        <w:t xml:space="preserve"> </w:t>
      </w:r>
      <w:proofErr w:type="spellStart"/>
      <w:r>
        <w:rPr>
          <w:rFonts w:ascii="Times New Roman" w:hAnsi="Times New Roman" w:cs="Times New Roman"/>
        </w:rPr>
        <w:t>Science</w:t>
      </w:r>
      <w:proofErr w:type="spellEnd"/>
      <w:r>
        <w:rPr>
          <w:rFonts w:ascii="Times New Roman" w:hAnsi="Times New Roman" w:cs="Times New Roman"/>
        </w:rPr>
        <w:t>, 2026.</w:t>
      </w:r>
    </w:p>
    <w:sectPr w:rsidR="00336A0B" w:rsidRPr="00336A0B" w:rsidSect="00336A0B">
      <w:type w:val="continuous"/>
      <w:pgSz w:w="11906" w:h="16838" w:code="9"/>
      <w:pgMar w:top="1077" w:right="811" w:bottom="2438" w:left="811"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A0B"/>
    <w:rsid w:val="0010507A"/>
    <w:rsid w:val="001B00CD"/>
    <w:rsid w:val="00336A0B"/>
    <w:rsid w:val="006F718F"/>
    <w:rsid w:val="00770321"/>
    <w:rsid w:val="0091610F"/>
    <w:rsid w:val="00982D3E"/>
    <w:rsid w:val="00AF08DB"/>
    <w:rsid w:val="00B17F81"/>
    <w:rsid w:val="00B84691"/>
    <w:rsid w:val="00BA10EA"/>
    <w:rsid w:val="00BA312F"/>
    <w:rsid w:val="00CC1CD4"/>
    <w:rsid w:val="00CF2A70"/>
    <w:rsid w:val="00CF37CC"/>
    <w:rsid w:val="00F14DD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5120F"/>
  <w15:chartTrackingRefBased/>
  <w15:docId w15:val="{DA381E3B-A3D6-4A5D-958B-00AC211D2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36A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36A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36A0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36A0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36A0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36A0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6A0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6A0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6A0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6A0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36A0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36A0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36A0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36A0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36A0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6A0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6A0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6A0B"/>
    <w:rPr>
      <w:rFonts w:eastAsiaTheme="majorEastAsia" w:cstheme="majorBidi"/>
      <w:color w:val="272727" w:themeColor="text1" w:themeTint="D8"/>
    </w:rPr>
  </w:style>
  <w:style w:type="paragraph" w:styleId="Ttulo">
    <w:name w:val="Title"/>
    <w:basedOn w:val="Normal"/>
    <w:next w:val="Normal"/>
    <w:link w:val="TtuloCar"/>
    <w:uiPriority w:val="10"/>
    <w:qFormat/>
    <w:rsid w:val="00336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6A0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6A0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6A0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6A0B"/>
    <w:pPr>
      <w:spacing w:before="160"/>
      <w:jc w:val="center"/>
    </w:pPr>
    <w:rPr>
      <w:i/>
      <w:iCs/>
      <w:color w:val="404040" w:themeColor="text1" w:themeTint="BF"/>
    </w:rPr>
  </w:style>
  <w:style w:type="character" w:customStyle="1" w:styleId="CitaCar">
    <w:name w:val="Cita Car"/>
    <w:basedOn w:val="Fuentedeprrafopredeter"/>
    <w:link w:val="Cita"/>
    <w:uiPriority w:val="29"/>
    <w:rsid w:val="00336A0B"/>
    <w:rPr>
      <w:i/>
      <w:iCs/>
      <w:color w:val="404040" w:themeColor="text1" w:themeTint="BF"/>
    </w:rPr>
  </w:style>
  <w:style w:type="paragraph" w:styleId="Prrafodelista">
    <w:name w:val="List Paragraph"/>
    <w:basedOn w:val="Normal"/>
    <w:uiPriority w:val="34"/>
    <w:qFormat/>
    <w:rsid w:val="00336A0B"/>
    <w:pPr>
      <w:ind w:left="720"/>
      <w:contextualSpacing/>
    </w:pPr>
  </w:style>
  <w:style w:type="character" w:styleId="nfasisintenso">
    <w:name w:val="Intense Emphasis"/>
    <w:basedOn w:val="Fuentedeprrafopredeter"/>
    <w:uiPriority w:val="21"/>
    <w:qFormat/>
    <w:rsid w:val="00336A0B"/>
    <w:rPr>
      <w:i/>
      <w:iCs/>
      <w:color w:val="0F4761" w:themeColor="accent1" w:themeShade="BF"/>
    </w:rPr>
  </w:style>
  <w:style w:type="paragraph" w:styleId="Citadestacada">
    <w:name w:val="Intense Quote"/>
    <w:basedOn w:val="Normal"/>
    <w:next w:val="Normal"/>
    <w:link w:val="CitadestacadaCar"/>
    <w:uiPriority w:val="30"/>
    <w:qFormat/>
    <w:rsid w:val="00336A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36A0B"/>
    <w:rPr>
      <w:i/>
      <w:iCs/>
      <w:color w:val="0F4761" w:themeColor="accent1" w:themeShade="BF"/>
    </w:rPr>
  </w:style>
  <w:style w:type="character" w:styleId="Referenciaintensa">
    <w:name w:val="Intense Reference"/>
    <w:basedOn w:val="Fuentedeprrafopredeter"/>
    <w:uiPriority w:val="32"/>
    <w:qFormat/>
    <w:rsid w:val="00336A0B"/>
    <w:rPr>
      <w:b/>
      <w:bCs/>
      <w:smallCaps/>
      <w:color w:val="0F4761" w:themeColor="accent1" w:themeShade="BF"/>
      <w:spacing w:val="5"/>
    </w:rPr>
  </w:style>
  <w:style w:type="table" w:styleId="Tablaconcuadrcula">
    <w:name w:val="Table Grid"/>
    <w:basedOn w:val="Tablanormal"/>
    <w:uiPriority w:val="39"/>
    <w:rsid w:val="006F71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1074123">
      <w:bodyDiv w:val="1"/>
      <w:marLeft w:val="0"/>
      <w:marRight w:val="0"/>
      <w:marTop w:val="0"/>
      <w:marBottom w:val="0"/>
      <w:divBdr>
        <w:top w:val="none" w:sz="0" w:space="0" w:color="auto"/>
        <w:left w:val="none" w:sz="0" w:space="0" w:color="auto"/>
        <w:bottom w:val="none" w:sz="0" w:space="0" w:color="auto"/>
        <w:right w:val="none" w:sz="0" w:space="0" w:color="auto"/>
      </w:divBdr>
    </w:div>
    <w:div w:id="2056469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2162</Words>
  <Characters>11897</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Percy Junior Camargo Arias</dc:creator>
  <cp:keywords/>
  <dc:description/>
  <cp:lastModifiedBy>Percy Junior Camargo Arias</cp:lastModifiedBy>
  <cp:revision>6</cp:revision>
  <dcterms:created xsi:type="dcterms:W3CDTF">2026-07-06T21:18:00Z</dcterms:created>
  <dcterms:modified xsi:type="dcterms:W3CDTF">2026-07-06T21:57:00Z</dcterms:modified>
</cp:coreProperties>
</file>