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IUT d’Orsay - DUT Informatique -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Jean-Claude MARTIN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JEAN-CLAUDE.MARTIN@U-PSUD.FR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ffffff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Programmation Orientée Objet (POO)</w:t>
        <w:br w:type="textWrapping"/>
        <w:t xml:space="preserve">COURS 3 : Paquetages, modificateur d’accès, encapsulation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vertAlign w:val="baseline"/>
        </w:rPr>
      </w:pPr>
      <w:bookmarkStart w:colFirst="0" w:colLast="0" w:name="_1zorhbe4pbgq" w:id="0"/>
      <w:bookmarkEnd w:id="0"/>
      <w:r w:rsidDel="00000000" w:rsidR="00000000" w:rsidRPr="00000000">
        <w:rPr>
          <w:rtl w:val="0"/>
        </w:rPr>
        <w:t xml:space="preserve">Normes de programmation OBLIGATOIRES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100.0" w:type="pct"/>
        <w:tblLayout w:type="fixed"/>
        <w:tblLook w:val="0600"/>
      </w:tblPr>
      <w:tblGrid>
        <w:gridCol w:w="5550"/>
        <w:gridCol w:w="5190"/>
        <w:tblGridChange w:id="0">
          <w:tblGrid>
            <w:gridCol w:w="5550"/>
            <w:gridCol w:w="5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Un nom de classe commence par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………une majuscule…………………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.                                                                                     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Un nom de méthode commence par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………une minuscule…………………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.                                                                                     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Un nom d’attribut commence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……………une minuscule…………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                                                                                  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firstLine="0"/>
              <w:contextualSpacing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……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un underscore _taille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                                                                                    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Une constante s’écrit en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en majuscules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                                                                                     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Une classe (PUBLIC) C1 se trouve dans un fichier qui s’appelle ………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yellow"/>
                <w:rtl w:val="0"/>
              </w:rPr>
              <w:t xml:space="preserve">C1.java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……………………………….                                                                                     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Indentation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OBLIGATOIRE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 saut de ligne avant chaque bloc et on commence par un commentaire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// Parcourir tous les article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for (int i = …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….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// Afficher le total des …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Commentaires :</w:t>
              <w:br w:type="textWrapping"/>
              <w:t xml:space="preserve"> 1 avant chaque méthode, 1 avant chaque bloc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numClient, numCompte</w:t>
              <w:br w:type="textWrapping"/>
              <w:t xml:space="preserve"> =&gt; utiliser le même nom d’attribut : "numero" dans toutes les classes : c’est de l’OO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980" w:hanging="360"/>
              <w:contextualSpacing w:val="1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 blocs imbriqués :</w:t>
              <w:br w:type="textWrapping"/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MAX 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: au delà écrire des sous-programmes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6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6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92400" cy="3568700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88" w:lineRule="auto"/>
        <w:contextualSpacing w:val="0"/>
        <w:rPr/>
      </w:pPr>
      <w:bookmarkStart w:colFirst="0" w:colLast="0" w:name="_6e1tnzk4ik66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Paquetages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Définition : un paquetage (“package” en anglais) est un regroupement de classes  qui ont une fonction similaire ; par exemple classes permettant de gérer les entrées-sorties (java.io).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Intérêt : …RANGER………………………………………………….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720" w:firstLine="0"/>
        <w:contextualSpacing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Utilisation d’un paquetage existant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: la classe File permet de récupérer les noms des fichiers du dossier courant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classe File est dans le paquetage java.io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 l’utiliser : 2 solutions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ExPaquetageExistant 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arg[])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 ("Affichage du dossier ");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java.io.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 = new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java.io.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(".");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String dossier [] = f.list 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Boucle for each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(String s : dossier) {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System.out.println ("-- " + s);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 2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import java.io.File 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ExPaquetageExistant 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arg[])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 ("Affichage du dossier ");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= new File (".");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String dossier [] = f.list ();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 utiliser une classe qui est dans un package donné, il faut 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Soit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…utiliser le nom long de la classe avec le nom du paquetage devant le nom de la classe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Soit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…importer la classe au début du fichier…………………………………………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mot clé import PERMET D’UTILISER LE NOM COURT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Exception : La classe System est dans le paquetage java.lang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Pourquoi peut-on tout de meme l’utiliser ? LE PAQUETAGE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java.lang EST IMPORTE PAR DEFAUT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Rien à mettre car Math est dans java.lang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ExPaquetageExistant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arg[]) 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 ("Utilisation d'un paquetage");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System.out.println ("2 puissance 3 = "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.pow (2,3));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paquetage peut contenir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des classes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des sous paquetages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des sous-paquetages 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l’import d’un paquetage n’importe pas les sous-paquetages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Les paquetages du JDK : exemples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java.lang : classes de base (System, String, Math, …)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java.util : classes utilitaires (Random, Vector, Calendar, Arrays, ArrayList…)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java.io : entrées-sorties (fichiers, ...)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javax.swing : interfaces graphiques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javax.swing.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événements (clics de souris, …)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1865313" cy="4119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313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“Companies use their reversed Internet domain name to begin their package names—for example,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com.example.mypackage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for a package named mypackage created by a programmer at example.com.”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Spécifier un paquetage pour une nouvelle classe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Mettre en début de fichier : exemple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mobilier 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Table, Chaise, …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Eclipse 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Créer un paquetage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Dossier src : un dossier par paquetage =&gt; structure des dossiers = structure des paquetages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pas d’instruction package : default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Exemple d’utilisation de paquetage : le modèle MVC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de paquetages différents : le modèle MVC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modeles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les données de l’application (comptes, clients, …) et leurs traitement (recherche, tri, ajout d’un client, …)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vues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montrent un aspect de l'état du modèle (par exemple la liste des comptes d'un client donné)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contrôleurs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appellent des méthodes sur le modèle (par exemple ajout d'un compte) et demande à la vue correspondante de se mettre à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/>
      </w:pPr>
      <w:bookmarkStart w:colFirst="0" w:colLast="0" w:name="_7t9j8i9lybb9" w:id="2"/>
      <w:bookmarkEnd w:id="2"/>
      <w:r w:rsidDel="00000000" w:rsidR="00000000" w:rsidRPr="00000000">
        <w:rPr>
          <w:rtl w:val="0"/>
        </w:rPr>
        <w:t xml:space="preserve">Modificateurs d’accès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Visibilité / accessibilité des attributs et des méthodes d’une classe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Pour un attribut, accessible = on peut consulter ou modifier sa valeur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Pour une méthode, accessible = on peut appeler cette méthode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 défaut : accessible dans les méthodes des classes du même package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accessible dans les méthodes de toutes les classes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accessible seulement dans les méthodes de cette classe (et les classes imbriquées)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protected : accessible par cette classe et les sous-classes (cf cours sur l’héritage)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10008" cy="3957638"/>
            <wp:effectExtent b="0" l="0" r="0" t="0"/>
            <wp:docPr descr="s.png" id="2" name="image5.png"/>
            <a:graphic>
              <a:graphicData uri="http://schemas.openxmlformats.org/drawingml/2006/picture">
                <pic:pic>
                  <pic:nvPicPr>
                    <pic:cNvPr descr="s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008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d11 est accessible par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…m11, m12, m13…………………………………………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d12 est accessible par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…toutes les méthodes de toutes les classes…………………………………………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d13 est accessible par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…les méthodes de Classe1 et celles de Classe2 (même paquetage)…………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Visibilité / accessibilité d’une classe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C (par défaut)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cette classe est accessible depuis toutes les autres classes de ce paquetage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 class C :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cette classe est accessible depuis toutes les autres classes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Classe / méthodes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 une classe n’est pas déclarée public alors que ses méthodes sont déclarées public,</w:t>
        <w:br w:type="textWrapping"/>
        <w:t xml:space="preserve"> celles-ci ne seront pas accessibles d’un autre paquetage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Exemple de méthode privée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class Stock {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  <w:t xml:space="preserve">public gererStock () 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  <w:tab/>
        <w:t xml:space="preserve">optimiser () 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  <w:t xml:space="preserve">public maj ()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  <w:tab/>
        <w:t xml:space="preserve">optimiser () 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17365d"/>
          <w:rtl w:val="0"/>
        </w:rPr>
        <w:t xml:space="preserve">void optimiser ()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ab/>
        <w:t xml:space="preserve">…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/>
      </w:pPr>
      <w:bookmarkStart w:colFirst="0" w:colLast="0" w:name="_kp1wzt3cn4uq" w:id="3"/>
      <w:bookmarkEnd w:id="3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https://www.youtube.com/watch?v=szYzBC89CPE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Principe de l’encapsulation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L’encapsulation consiste à permettre à un utilisateur d’utiliser un objet sans qu’il ne se soucie des détails internes. Un objet sert alors de conteneur / capsule pour regrouper et protéger l’accès aux attributs et aux méthodes.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Capsule = protection + entrées contrôlées dans la capsule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Schéma d’une capsule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Intérêt de l’encapsulation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L’encapsulation permet de cacher certains attributs des objets. Pour accéder à ces attributs, un programmeur est alors obligé de passer par des méthodes qui contrôlent les accès.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Accesseurs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Pour permettre tout de même d’accéder à des attributs que l’on a mis en private, il faut ajouter des méthodes qui permettent d’y accéder : ce sont des accesseurs 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getX () =&gt; récupérer la valeur de l’attribut : float getSolde()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setX(val) =&gt; donner une valeur à l’attribut : void setSolde ()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: classe Action, mot de passe pour accéder au solde, affichage des opérations, …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 ENCAPSULEE: Action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Action {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private double montant = 100;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void setMontant (double val) {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(val &gt; 10 * montant) 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System.out.println ("Tentative de magouille ?");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montant = val 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getMontant ()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montant 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 QUI EST MAINTENANT OBLIGEE DE PASSER PAR LES ACCESSEURS POUR ACCEDER AUX ATTRIBUTS DE Action :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Magouille {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 (String args[]) 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Action a = new Action ();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//AVANT ENCAPSULATION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//a.montant = -10 000;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 ("Montant initial : " + a.getMontant());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Modifier le montant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a.setMontant(10000) 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 On sauvegarde ces objets dans les fichiers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 ("Montant apres magouille : " + a.getMontant());</w:t>
        <w:tab/>
        <w:tab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L’unité d’encapsulation est la classe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Exemple de la méthode coincide (Point pt) dans la classe Point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Point {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Point (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y) {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x 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= y ;</w:t>
        <w:tab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public boolean coincide (Point pt) {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// Cette  méthode peut accéder aux attributs privés du paramètre pt !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ab/>
        <w:t xml:space="preserve">// car pt est de type Point (donc de la classe de cette méthode)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// =&gt; L’unité d’encapsulation est LA CLASSE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// =&gt; Tous les objets instances d’une même classe sont DANS LA MEME CAPSULE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ab/>
        <w:tab/>
        <w:t xml:space="preserve">return ((pt.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highlight w:val="yello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highlight w:val="yellow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) &amp;&amp; (pt.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highlight w:val="yello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4"/>
          <w:szCs w:val="24"/>
          <w:highlight w:val="yellow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));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 (String args []) 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Point p1 =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 (1, 3);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Point p2 =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 (2, 9);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Point p3 =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 (1, 3);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"p1 et p2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p1.coincide(p2)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équivalent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à p2.coincide (p1)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"p1 et p3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p1.coincide(p3));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getX() {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setX(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x) {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x;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getY() {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setY(</w:t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y) {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y;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Les méthodes d’une classe peuvent accéder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à tous les attributs private de l’objet sur lequel est appelé la méthode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ET AUSSI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aux attributs private de tous les objets de cette classe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(par exemple les objets passés en paramètre à la méthode)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Classes internes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Définition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Une classe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interne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est définie à l’intérieur d’une autre classe.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Exemple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class Cercle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private Centre c 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private double r ;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class Centre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// La définition de cette classe est imbriquée dans celle de la classe Cercle.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{ public Centre (int x, int y){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    this.x = x ; this.y = y 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public void affiche()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{ System.out.println (x + ", " + y) 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  private int x, y 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144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public Cercle (int x, int y, double r)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{ c = new Centre (x, y) ;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// Crée une instance de la classe imbriquée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……………..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  this.r = r ;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public void affiche ()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{ System.out.print ("cercle de rayon " + r + " de centre ") 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  c.affiche() ;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// ………………………………………………………………………………..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public void deplace (int dx, int dy)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{ c.x += dx ; c.y += dy ;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// ………………………………………………………………………………..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public class TstCercl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{ public static void main (String args[])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{ Cercle c1 = new Cercle(1, 3, 2.5) 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  c1.affiche() 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  c1.deplace (4, -2) 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  c1.affiche() ;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7365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17365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4"/>
          <w:szCs w:val="24"/>
          <w:rtl w:val="0"/>
        </w:rPr>
        <w:t xml:space="preserve">cercle de rayon 2.5 de centre 1, 3</w:t>
        <w:br w:type="textWrapping"/>
        <w:t xml:space="preserve">cercle de rayon 2.5 de centre 5, 1</w:t>
        <w:br w:type="textWrapping"/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Remarques :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Permet de réduire le nombre de classes visibles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Doit rester logique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88" w:lineRule="auto"/>
        <w:ind w:left="400" w:firstLine="0"/>
        <w:contextualSpacing w:val="0"/>
        <w:rPr>
          <w:rFonts w:ascii="Helvetica Neue" w:cs="Helvetica Neue" w:eastAsia="Helvetica Neue" w:hAnsi="Helvetica Neue"/>
          <w:sz w:val="20"/>
          <w:szCs w:val="20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Droits d’accès devant la classe imbriquée</w:t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la classe interne est accessible partout où sa classe externe l’est en précisant par exemple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new Cercle.Centre ()</w:t>
      </w:r>
    </w:p>
    <w:p w:rsidR="00000000" w:rsidDel="00000000" w:rsidP="00000000" w:rsidRDefault="00000000" w:rsidRPr="00000000" w14:paraId="000001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(possible sur une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imbriquée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 sur une classe externe)</w:t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défaut : accessible depuis les classes du même paquetage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szYzBC89CPE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