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j91jdg65hudr" w:id="0"/>
      <w:bookmarkEnd w:id="0"/>
      <w:r w:rsidDel="00000000" w:rsidR="00000000" w:rsidRPr="00000000">
        <w:rPr>
          <w:rtl w:val="0"/>
        </w:rPr>
        <w:t xml:space="preserve">Programmation Orientée Objet (POO)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03huunbk5d4" w:id="1"/>
      <w:bookmarkEnd w:id="1"/>
      <w:r w:rsidDel="00000000" w:rsidR="00000000" w:rsidRPr="00000000">
        <w:rPr>
          <w:rtl w:val="0"/>
        </w:rPr>
        <w:t xml:space="preserve">EX 1 : Programmation Structurée en Java et Machine Virtuelle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32"/>
          <w:szCs w:val="32"/>
        </w:rPr>
      </w:pPr>
      <w:bookmarkStart w:colFirst="0" w:colLast="0" w:name="_o23by4bthhqs" w:id="2"/>
      <w:bookmarkEnd w:id="2"/>
      <w:r w:rsidDel="00000000" w:rsidR="00000000" w:rsidRPr="00000000">
        <w:rPr>
          <w:rtl w:val="0"/>
        </w:rPr>
        <w:t xml:space="preserve">EXA 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Introduction à Eclipse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Parcourir la brochure Eclipse.pdf « Introduction à Eclipse » (ignorer la partie JUnit pour l’instant).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Sous Eclipse, créez un projet Java “EX-01” dans lequel vous stockerez toutes les classes développées dans cette feuille d’exercices.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Créez ensuite une classe (ou plusieurs) par exercice.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Créez une classe AfficherSaisir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Ecrire une méthode main() qui affiche « Bonjour ». Exécutez la (vous devez toujours tester vos programmes au fur et à mesure !)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Afficher ensuite le nombre pi (Math.PI) de manière formatée avec 3 chiffres après la virgule.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Saisir un nombre n ; afficher un nombre aléatoire entre 0 et n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utilisant l’explorateur Windows, parcourez le contenu de votre dossier Workspace Eclipse. Trouvez où est stocké le fichier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AfficherSaisir.class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résultant de la compilation de votre classe AfficherSaisir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contextualSpacing w:val="0"/>
        <w:rPr/>
      </w:pPr>
      <w:bookmarkStart w:colFirst="0" w:colLast="0" w:name="_mka8ul42oct3" w:id="3"/>
      <w:bookmarkEnd w:id="3"/>
      <w:r w:rsidDel="00000000" w:rsidR="00000000" w:rsidRPr="00000000">
        <w:rPr>
          <w:rtl w:val="0"/>
        </w:rPr>
        <w:t xml:space="preserve">EX B : </w:t>
      </w:r>
      <w:r w:rsidDel="00000000" w:rsidR="00000000" w:rsidRPr="00000000">
        <w:rPr>
          <w:rtl w:val="0"/>
        </w:rPr>
        <w:t xml:space="preserve">Tableaux de types de base, type boolean, type char, boucle foreach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Créer une classe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Stock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ayant le squelette suivant que vous devrez compléter comme indiqué plus bas</w:t>
        <w:br w:type="textWrapping"/>
        <w:t xml:space="preserve"> ATTENTION AU FORMAT DES COMMENTAIRES : Pour chaque bloc d’instructions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Sauter une ligne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Commenter 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// Allouer  …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Bloc d’instruction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Stock 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args) {</w:t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//---------------------------------------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720"/>
        <w:contextualSpacing w:val="0"/>
        <w:rPr>
          <w:rFonts w:ascii="Courier New" w:cs="Courier New" w:eastAsia="Courier New" w:hAnsi="Courier New"/>
          <w:color w:val="3f7f5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Déclarer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constantes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//---------------------------------------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//---------------------------------------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3f7f5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Déclarer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tableaux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//---------------------------------------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//---------------------------------------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3f7f5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Allouer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tableaux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//---------------------------------------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//---------------------------------------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Mettre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valeurs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cases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//---------------------------------------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//---------------------------------------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// Parcours des deux tableaux avec deux boucles foreach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//---------------------------------------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//---------------------------------------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// Parcours des deux tableaux en parallèle avec une boucle while et un booleen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//---------------------------------------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Déclarer dans la méthode main () un tableau de caractères (char) pour y stocker des codes d’articles et un autre tableau de double pour les prix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mettre les valeurs indiquées ci-dessous dans l’exécution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Allouer NB_ARTICLES cases dans ces tableaux avec NB_ARTICLES déclarée en constante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Afficher le contenu des tableaux en utilisant deux boucles “foreach” (cf cours 01)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Afficher le contenu des tableaux en parallèle en déclarant un booléen et faire une boucle while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EXECUTION DU MAIN 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Parcours successif des tableaux avec deux boucle foreach 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A</w:t>
        <w:tab/>
        <w:t xml:space="preserve">B</w:t>
        <w:tab/>
        <w:t xml:space="preserve">C</w:t>
        <w:tab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10.5</w:t>
        <w:tab/>
        <w:t xml:space="preserve">2.5</w:t>
        <w:tab/>
        <w:t xml:space="preserve">21.5</w:t>
        <w:tab/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Parcours des deux tableaux en parallèle avec une boucle while et un booleen 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A - 10.5 Euros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B - 2.5 Euros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C - 21.5 Euros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Dessiner le schéma de la mémoire à la fin du main (comme montré en cours)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SCHEMA DE LA MEMOIRE MODE BOITES ET FLECHES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SCHEMA DE LA MEMOIRE MODE RUBAN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50l3fb3sf5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7o7a59kf2px" w:id="5"/>
      <w:bookmarkEnd w:id="5"/>
      <w:r w:rsidDel="00000000" w:rsidR="00000000" w:rsidRPr="00000000">
        <w:rPr>
          <w:rtl w:val="0"/>
        </w:rPr>
        <w:t xml:space="preserve">EX C : Méthodes et passage de paramètres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Quel est le type de passage de paramètre permis en Java ?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Ecrire un programme qui teste les points suivants : 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essayer d’échanger les valeurs de 2 variables de type char passées en paramètre (afficher leur valeur avant l’appel, pendant l’appel et après l’appel)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essayer de mettre 150.7 dans la case de rang 1 d’un tableau de nombres réels passé en paramètre (idem afficher avant, pendant et après l’appel)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essayer de modifier l’adresse d’un tableau de nombres réels passé en paramètres (idem affichage)</w:t>
      </w:r>
    </w:p>
    <w:p w:rsidR="00000000" w:rsidDel="00000000" w:rsidP="00000000" w:rsidRDefault="00000000" w:rsidRPr="00000000" w14:paraId="000000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0sq8ons8c2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rtl w:val="0"/>
      </w:rPr>
      <w:t xml:space="preserve">IUT d’Orsay - DUT Informatique - Jean-Claude MARTIN –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JEAN-CLAUDE.MARTIN@U-PSUD.FR</w:t>
      </w:r>
    </w:hyperlink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EAN-CLAUDE.MARTIN@U-PSUD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