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80BB" w14:textId="77777777" w:rsidR="006F10D1" w:rsidRPr="002C40AE" w:rsidRDefault="006F10D1" w:rsidP="006F10D1">
      <w:pPr>
        <w:pStyle w:val="NormalWeb"/>
        <w:shd w:val="clear" w:color="auto" w:fill="FFFFFF"/>
        <w:spacing w:before="0" w:beforeAutospacing="0" w:after="0" w:afterAutospacing="0" w:line="360" w:lineRule="auto"/>
        <w:jc w:val="center"/>
        <w:rPr>
          <w:rFonts w:asciiTheme="minorHAnsi" w:hAnsiTheme="minorHAnsi" w:cstheme="minorHAnsi"/>
          <w:b/>
          <w:bCs/>
          <w:color w:val="002060"/>
          <w:sz w:val="21"/>
          <w:szCs w:val="21"/>
          <w:lang w:val="en-US"/>
        </w:rPr>
      </w:pPr>
      <w:r w:rsidRPr="002C40AE">
        <w:rPr>
          <w:rFonts w:asciiTheme="minorHAnsi" w:hAnsiTheme="minorHAnsi" w:cstheme="minorHAnsi"/>
          <w:b/>
          <w:bCs/>
          <w:color w:val="002060"/>
          <w:sz w:val="21"/>
          <w:szCs w:val="21"/>
          <w:lang w:val="en-US"/>
        </w:rPr>
        <w:t xml:space="preserve">Deciphering the cellular and molecular mechanisms leading to immune exclusion in lung cancer: IMMUNEX - Pierre-Alexis Da Costa </w:t>
      </w:r>
    </w:p>
    <w:p w14:paraId="36FF0DFF" w14:textId="38A5ACDA" w:rsidR="006F10D1" w:rsidRPr="006F10D1" w:rsidRDefault="006F10D1" w:rsidP="006F10D1">
      <w:pPr>
        <w:spacing w:line="264" w:lineRule="auto"/>
        <w:ind w:firstLine="708"/>
        <w:jc w:val="both"/>
        <w:rPr>
          <w:rFonts w:cstheme="minorHAnsi"/>
          <w:kern w:val="0"/>
          <w:sz w:val="21"/>
          <w:szCs w:val="21"/>
          <w:lang w:val="en-US"/>
        </w:rPr>
      </w:pPr>
      <w:r w:rsidRPr="002C40AE">
        <w:rPr>
          <w:rFonts w:cstheme="minorHAnsi"/>
          <w:kern w:val="0"/>
          <w:sz w:val="21"/>
          <w:szCs w:val="21"/>
          <w:lang w:val="en-US"/>
        </w:rPr>
        <w:t xml:space="preserve">Non-small-cell lung cancer (NSCLC) is </w:t>
      </w:r>
      <w:r>
        <w:rPr>
          <w:rFonts w:cstheme="minorHAnsi"/>
          <w:kern w:val="0"/>
          <w:sz w:val="21"/>
          <w:szCs w:val="21"/>
          <w:lang w:val="en-US"/>
        </w:rPr>
        <w:t>characterized by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a complex and heterogeneous tumor microenvironment (TME) that includes various immune cells, cancer-associated fibroblasts (CAFs)</w:t>
      </w:r>
      <w:r w:rsidR="00284C6F">
        <w:rPr>
          <w:rFonts w:cstheme="minorHAnsi"/>
          <w:kern w:val="0"/>
          <w:sz w:val="21"/>
          <w:szCs w:val="21"/>
          <w:lang w:val="en-US"/>
        </w:rPr>
        <w:t>,</w:t>
      </w:r>
      <w:r>
        <w:rPr>
          <w:rFonts w:cstheme="minorHAnsi"/>
          <w:kern w:val="0"/>
          <w:sz w:val="21"/>
          <w:szCs w:val="21"/>
          <w:lang w:val="en-US"/>
        </w:rPr>
        <w:t xml:space="preserve"> and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</w:t>
      </w:r>
      <w:r>
        <w:rPr>
          <w:rFonts w:cstheme="minorHAnsi"/>
          <w:kern w:val="0"/>
          <w:sz w:val="21"/>
          <w:szCs w:val="21"/>
          <w:lang w:val="en-US"/>
        </w:rPr>
        <w:t>endothelial cells, in addition to tumor cells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. </w:t>
      </w:r>
      <w:r>
        <w:rPr>
          <w:rFonts w:cstheme="minorHAnsi"/>
          <w:kern w:val="0"/>
          <w:sz w:val="21"/>
          <w:szCs w:val="21"/>
          <w:lang w:val="en-US"/>
        </w:rPr>
        <w:t>Immune cells are o</w:t>
      </w:r>
      <w:r w:rsidRPr="002C40AE">
        <w:rPr>
          <w:rFonts w:cstheme="minorHAnsi"/>
          <w:kern w:val="0"/>
          <w:sz w:val="21"/>
          <w:szCs w:val="21"/>
          <w:lang w:val="en-US"/>
        </w:rPr>
        <w:t>rganiz</w:t>
      </w:r>
      <w:r>
        <w:rPr>
          <w:rFonts w:cstheme="minorHAnsi"/>
          <w:kern w:val="0"/>
          <w:sz w:val="21"/>
          <w:szCs w:val="21"/>
          <w:lang w:val="en-US"/>
        </w:rPr>
        <w:t>ed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in tertiary lymphoid structure (TLS)</w:t>
      </w:r>
      <w:r>
        <w:rPr>
          <w:rFonts w:cstheme="minorHAnsi"/>
          <w:kern w:val="0"/>
          <w:sz w:val="21"/>
          <w:szCs w:val="21"/>
          <w:lang w:val="en-US"/>
        </w:rPr>
        <w:t xml:space="preserve">, which 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leads to a coordinated </w:t>
      </w:r>
      <w:r w:rsidRPr="001254AE">
        <w:rPr>
          <w:rFonts w:cstheme="minorHAnsi"/>
          <w:i/>
          <w:iCs/>
          <w:kern w:val="0"/>
          <w:sz w:val="21"/>
          <w:szCs w:val="21"/>
          <w:lang w:val="en-US"/>
        </w:rPr>
        <w:t>in situ</w:t>
      </w:r>
      <w:r>
        <w:rPr>
          <w:rFonts w:cstheme="minorHAnsi"/>
          <w:kern w:val="0"/>
          <w:sz w:val="21"/>
          <w:szCs w:val="21"/>
          <w:lang w:val="en-US"/>
        </w:rPr>
        <w:t xml:space="preserve"> </w:t>
      </w:r>
      <w:r w:rsidRPr="002C40AE">
        <w:rPr>
          <w:rFonts w:cstheme="minorHAnsi"/>
          <w:kern w:val="0"/>
          <w:sz w:val="21"/>
          <w:szCs w:val="21"/>
          <w:lang w:val="en-US"/>
        </w:rPr>
        <w:t>anti-tumoral immune response</w:t>
      </w:r>
      <w:r>
        <w:rPr>
          <w:rFonts w:cstheme="minorHAnsi"/>
          <w:kern w:val="0"/>
          <w:sz w:val="21"/>
          <w:szCs w:val="21"/>
          <w:lang w:val="en-US"/>
        </w:rPr>
        <w:t xml:space="preserve">, that </w:t>
      </w:r>
      <w:r w:rsidR="00284C6F">
        <w:rPr>
          <w:rFonts w:cstheme="minorHAnsi"/>
          <w:kern w:val="0"/>
          <w:sz w:val="21"/>
          <w:szCs w:val="21"/>
          <w:lang w:val="en-US"/>
        </w:rPr>
        <w:t>is</w:t>
      </w:r>
      <w:r>
        <w:rPr>
          <w:rFonts w:cstheme="minorHAnsi"/>
          <w:kern w:val="0"/>
          <w:sz w:val="21"/>
          <w:szCs w:val="21"/>
          <w:lang w:val="en-US"/>
        </w:rPr>
        <w:t xml:space="preserve"> 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associated with a </w:t>
      </w:r>
      <w:r>
        <w:rPr>
          <w:rFonts w:cstheme="minorHAnsi"/>
          <w:kern w:val="0"/>
          <w:sz w:val="21"/>
          <w:szCs w:val="21"/>
          <w:lang w:val="en-US"/>
        </w:rPr>
        <w:t>good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prognosis. Moreover, recent studies have shown that TLS </w:t>
      </w:r>
      <w:r>
        <w:rPr>
          <w:rFonts w:cstheme="minorHAnsi"/>
          <w:kern w:val="0"/>
          <w:sz w:val="21"/>
          <w:szCs w:val="21"/>
          <w:lang w:val="en-US"/>
        </w:rPr>
        <w:t>are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necessary to achieve an objective response to immunotherapy.</w:t>
      </w:r>
      <w:r>
        <w:rPr>
          <w:rFonts w:cstheme="minorHAnsi"/>
          <w:kern w:val="0"/>
          <w:sz w:val="21"/>
          <w:szCs w:val="21"/>
          <w:lang w:val="en-US"/>
        </w:rPr>
        <w:t xml:space="preserve"> However, only a fraction of NSCLC patients shows TLS in the TME, and some of them are devoid of immune cells. The objectives of my M2 internship are 1/ </w:t>
      </w:r>
      <w:r w:rsidRPr="002C40AE">
        <w:rPr>
          <w:rFonts w:cstheme="minorHAnsi"/>
          <w:kern w:val="0"/>
          <w:sz w:val="21"/>
          <w:szCs w:val="21"/>
          <w:lang w:val="en-US"/>
        </w:rPr>
        <w:t>to confirm that the organization of the immune infiltrate impacts the prognosis and to what extent</w:t>
      </w:r>
      <w:r>
        <w:rPr>
          <w:rFonts w:cstheme="minorHAnsi"/>
          <w:kern w:val="0"/>
          <w:sz w:val="21"/>
          <w:szCs w:val="21"/>
          <w:lang w:val="en-US"/>
        </w:rPr>
        <w:t>, and 2/ to decipher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</w:t>
      </w:r>
      <w:r>
        <w:rPr>
          <w:rFonts w:cstheme="minorHAnsi"/>
          <w:kern w:val="0"/>
          <w:sz w:val="21"/>
          <w:szCs w:val="21"/>
          <w:lang w:val="en-US"/>
        </w:rPr>
        <w:t>the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cell</w:t>
      </w:r>
      <w:r>
        <w:rPr>
          <w:rFonts w:cstheme="minorHAnsi"/>
          <w:kern w:val="0"/>
          <w:sz w:val="21"/>
          <w:szCs w:val="21"/>
          <w:lang w:val="en-US"/>
        </w:rPr>
        <w:t xml:space="preserve">ular 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and </w:t>
      </w:r>
      <w:r>
        <w:rPr>
          <w:rFonts w:cstheme="minorHAnsi"/>
          <w:kern w:val="0"/>
          <w:sz w:val="21"/>
          <w:szCs w:val="21"/>
          <w:lang w:val="en-US"/>
        </w:rPr>
        <w:t>molecular mechanisms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of the TME </w:t>
      </w:r>
      <w:r>
        <w:rPr>
          <w:rFonts w:cstheme="minorHAnsi"/>
          <w:kern w:val="0"/>
          <w:sz w:val="21"/>
          <w:szCs w:val="21"/>
          <w:lang w:val="en-US"/>
        </w:rPr>
        <w:t xml:space="preserve">that </w:t>
      </w:r>
      <w:r w:rsidRPr="002C40AE">
        <w:rPr>
          <w:rFonts w:cstheme="minorHAnsi"/>
          <w:kern w:val="0"/>
          <w:sz w:val="21"/>
          <w:szCs w:val="21"/>
          <w:lang w:val="en-US"/>
        </w:rPr>
        <w:t>influence this organization in TLS or not</w:t>
      </w:r>
      <w:r>
        <w:rPr>
          <w:rFonts w:cstheme="minorHAnsi"/>
          <w:kern w:val="0"/>
          <w:sz w:val="21"/>
          <w:szCs w:val="21"/>
          <w:lang w:val="en-US"/>
        </w:rPr>
        <w:t>.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In sum, our goal is to define </w:t>
      </w:r>
      <w:r w:rsidRPr="002C40AE">
        <w:rPr>
          <w:rFonts w:eastAsia="Times" w:cstheme="minorHAnsi"/>
          <w:sz w:val="21"/>
          <w:szCs w:val="21"/>
          <w:lang w:val="en-US"/>
        </w:rPr>
        <w:t>the TME signature associated with distinct patterns of immune infiltrates.</w:t>
      </w:r>
    </w:p>
    <w:p w14:paraId="71C8BDB6" w14:textId="77777777" w:rsidR="006F10D1" w:rsidRPr="002C40AE" w:rsidRDefault="006F10D1" w:rsidP="006F10D1">
      <w:pPr>
        <w:spacing w:line="264" w:lineRule="auto"/>
        <w:jc w:val="both"/>
        <w:rPr>
          <w:rFonts w:cstheme="minorHAnsi"/>
          <w:kern w:val="0"/>
          <w:sz w:val="21"/>
          <w:szCs w:val="21"/>
          <w:lang w:val="en-US"/>
        </w:rPr>
      </w:pPr>
      <w:r w:rsidRPr="002C40AE">
        <w:rPr>
          <w:rFonts w:cstheme="minorHAnsi"/>
          <w:kern w:val="0"/>
          <w:sz w:val="21"/>
          <w:szCs w:val="21"/>
          <w:lang w:val="en-US"/>
        </w:rPr>
        <w:tab/>
        <w:t>This study includes a cohort of 213 patients operated for a NSCLC in 2018 at Cochin Hospital. The histology of NS</w:t>
      </w:r>
      <w:r>
        <w:rPr>
          <w:rFonts w:cstheme="minorHAnsi"/>
          <w:kern w:val="0"/>
          <w:sz w:val="21"/>
          <w:szCs w:val="21"/>
          <w:lang w:val="en-US"/>
        </w:rPr>
        <w:t>C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LC has already been characterized: 130 adenocarcinomas (61%), 65 squamous cell carcinomas (31%), and 18 other histological types (8%). This cohort will be further characterized using multiplex </w:t>
      </w:r>
      <w:r>
        <w:rPr>
          <w:rFonts w:cstheme="minorHAnsi"/>
          <w:kern w:val="0"/>
          <w:sz w:val="21"/>
          <w:szCs w:val="21"/>
          <w:lang w:val="en-US"/>
        </w:rPr>
        <w:t xml:space="preserve">immunofluorescence (IF) 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and transcriptomics analysis. </w:t>
      </w:r>
    </w:p>
    <w:tbl>
      <w:tblPr>
        <w:tblpPr w:leftFromText="141" w:rightFromText="141" w:vertAnchor="text" w:tblpX="-118" w:tblpY="1"/>
        <w:tblOverlap w:val="never"/>
        <w:tblW w:w="0" w:type="auto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600" w:firstRow="0" w:lastRow="0" w:firstColumn="0" w:lastColumn="0" w:noHBand="1" w:noVBand="1"/>
        <w:tblCaption w:val="ff"/>
      </w:tblPr>
      <w:tblGrid>
        <w:gridCol w:w="1666"/>
        <w:gridCol w:w="1162"/>
      </w:tblGrid>
      <w:tr w:rsidR="006F10D1" w:rsidRPr="002C40AE" w14:paraId="2E442B05" w14:textId="77777777" w:rsidTr="001254AE">
        <w:trPr>
          <w:trHeight w:val="265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D22D34C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r w:rsidRPr="002C40AE">
              <w:rPr>
                <w:rFonts w:cstheme="minorHAnsi"/>
                <w:b/>
                <w:bCs/>
                <w:kern w:val="0"/>
                <w:sz w:val="21"/>
                <w:szCs w:val="21"/>
              </w:rPr>
              <w:t>Characteristic</w:t>
            </w:r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C10DEE6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r w:rsidRPr="002C40AE">
              <w:rPr>
                <w:rFonts w:cstheme="minorHAnsi"/>
                <w:b/>
                <w:bCs/>
                <w:kern w:val="0"/>
                <w:sz w:val="21"/>
                <w:szCs w:val="21"/>
              </w:rPr>
              <w:t>N = 213</w:t>
            </w:r>
            <w:r w:rsidRPr="002C40AE">
              <w:rPr>
                <w:rFonts w:cstheme="minorHAnsi"/>
                <w:i/>
                <w:iCs/>
                <w:kern w:val="0"/>
                <w:sz w:val="21"/>
                <w:szCs w:val="21"/>
                <w:vertAlign w:val="superscript"/>
              </w:rPr>
              <w:t>1</w:t>
            </w:r>
          </w:p>
        </w:tc>
      </w:tr>
      <w:tr w:rsidR="006F10D1" w:rsidRPr="002C40AE" w14:paraId="5B6AD447" w14:textId="77777777" w:rsidTr="001254AE">
        <w:tblPrEx>
          <w:tblBorders>
            <w:top w:val="none" w:sz="0" w:space="0" w:color="auto"/>
          </w:tblBorders>
        </w:tblPrEx>
        <w:trPr>
          <w:trHeight w:val="265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333643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b/>
                <w:bCs/>
                <w:kern w:val="0"/>
                <w:sz w:val="21"/>
                <w:szCs w:val="21"/>
              </w:rPr>
            </w:pPr>
            <w:proofErr w:type="gramStart"/>
            <w:r w:rsidRPr="002C40AE">
              <w:rPr>
                <w:rFonts w:cstheme="minorHAnsi"/>
                <w:b/>
                <w:bCs/>
                <w:kern w:val="0"/>
                <w:sz w:val="21"/>
                <w:szCs w:val="21"/>
              </w:rPr>
              <w:t>age</w:t>
            </w:r>
            <w:proofErr w:type="gramEnd"/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FB55AD8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r w:rsidRPr="002C40AE">
              <w:rPr>
                <w:rFonts w:cstheme="minorHAnsi"/>
                <w:kern w:val="0"/>
                <w:sz w:val="21"/>
                <w:szCs w:val="21"/>
              </w:rPr>
              <w:t>66 (60, 72)</w:t>
            </w:r>
          </w:p>
        </w:tc>
      </w:tr>
      <w:tr w:rsidR="006F10D1" w:rsidRPr="002C40AE" w14:paraId="2FCA6B88" w14:textId="77777777" w:rsidTr="001254AE">
        <w:tblPrEx>
          <w:tblBorders>
            <w:top w:val="none" w:sz="0" w:space="0" w:color="auto"/>
          </w:tblBorders>
        </w:tblPrEx>
        <w:trPr>
          <w:trHeight w:val="265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C5E9065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b/>
                <w:bCs/>
                <w:kern w:val="0"/>
                <w:sz w:val="21"/>
                <w:szCs w:val="21"/>
              </w:rPr>
            </w:pPr>
            <w:proofErr w:type="gramStart"/>
            <w:r w:rsidRPr="002C40AE">
              <w:rPr>
                <w:rFonts w:cstheme="minorHAnsi"/>
                <w:b/>
                <w:bCs/>
                <w:kern w:val="0"/>
                <w:sz w:val="21"/>
                <w:szCs w:val="21"/>
              </w:rPr>
              <w:t>sex</w:t>
            </w:r>
            <w:proofErr w:type="gramEnd"/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2D63C0C" w14:textId="77777777" w:rsidR="006F10D1" w:rsidRPr="002C40AE" w:rsidRDefault="006F10D1" w:rsidP="001254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</w:p>
        </w:tc>
      </w:tr>
      <w:tr w:rsidR="006F10D1" w:rsidRPr="002C40AE" w14:paraId="4CDA6C8D" w14:textId="77777777" w:rsidTr="001254AE">
        <w:tblPrEx>
          <w:tblBorders>
            <w:top w:val="none" w:sz="0" w:space="0" w:color="auto"/>
          </w:tblBorders>
        </w:tblPrEx>
        <w:trPr>
          <w:trHeight w:val="265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38C0BB7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proofErr w:type="gramStart"/>
            <w:r w:rsidRPr="002C40AE">
              <w:rPr>
                <w:rFonts w:cstheme="minorHAnsi"/>
                <w:kern w:val="0"/>
                <w:sz w:val="21"/>
                <w:szCs w:val="21"/>
              </w:rPr>
              <w:t>female</w:t>
            </w:r>
            <w:proofErr w:type="gramEnd"/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AA0DA6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r w:rsidRPr="002C40AE">
              <w:rPr>
                <w:rFonts w:cstheme="minorHAnsi"/>
                <w:kern w:val="0"/>
                <w:sz w:val="21"/>
                <w:szCs w:val="21"/>
              </w:rPr>
              <w:t>69 (32%)</w:t>
            </w:r>
          </w:p>
        </w:tc>
      </w:tr>
      <w:tr w:rsidR="006F10D1" w:rsidRPr="002C40AE" w14:paraId="01A9D18F" w14:textId="77777777" w:rsidTr="001254AE">
        <w:tblPrEx>
          <w:tblBorders>
            <w:top w:val="none" w:sz="0" w:space="0" w:color="auto"/>
          </w:tblBorders>
        </w:tblPrEx>
        <w:trPr>
          <w:trHeight w:val="265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2832F7E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proofErr w:type="gramStart"/>
            <w:r w:rsidRPr="002C40AE">
              <w:rPr>
                <w:rFonts w:cstheme="minorHAnsi"/>
                <w:kern w:val="0"/>
                <w:sz w:val="21"/>
                <w:szCs w:val="21"/>
              </w:rPr>
              <w:t>male</w:t>
            </w:r>
            <w:proofErr w:type="gramEnd"/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DC1DF8C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r w:rsidRPr="002C40AE">
              <w:rPr>
                <w:rFonts w:cstheme="minorHAnsi"/>
                <w:kern w:val="0"/>
                <w:sz w:val="21"/>
                <w:szCs w:val="21"/>
              </w:rPr>
              <w:t>144 (68%)</w:t>
            </w:r>
          </w:p>
        </w:tc>
      </w:tr>
      <w:tr w:rsidR="006F10D1" w:rsidRPr="002C40AE" w14:paraId="2D19A516" w14:textId="77777777" w:rsidTr="001254AE">
        <w:tblPrEx>
          <w:tblBorders>
            <w:top w:val="none" w:sz="0" w:space="0" w:color="auto"/>
          </w:tblBorders>
        </w:tblPrEx>
        <w:trPr>
          <w:trHeight w:val="265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D90A4D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b/>
                <w:bCs/>
                <w:kern w:val="0"/>
                <w:sz w:val="21"/>
                <w:szCs w:val="21"/>
              </w:rPr>
            </w:pPr>
            <w:proofErr w:type="gramStart"/>
            <w:r w:rsidRPr="002C40AE">
              <w:rPr>
                <w:rFonts w:cstheme="minorHAnsi"/>
                <w:b/>
                <w:bCs/>
                <w:kern w:val="0"/>
                <w:sz w:val="21"/>
                <w:szCs w:val="21"/>
              </w:rPr>
              <w:t>smoking</w:t>
            </w:r>
            <w:proofErr w:type="gramEnd"/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36D2463" w14:textId="77777777" w:rsidR="006F10D1" w:rsidRPr="002C40AE" w:rsidRDefault="006F10D1" w:rsidP="001254A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</w:p>
        </w:tc>
      </w:tr>
      <w:tr w:rsidR="006F10D1" w:rsidRPr="002C40AE" w14:paraId="1B388B7E" w14:textId="77777777" w:rsidTr="001254AE">
        <w:tblPrEx>
          <w:tblBorders>
            <w:top w:val="none" w:sz="0" w:space="0" w:color="auto"/>
          </w:tblBorders>
        </w:tblPrEx>
        <w:trPr>
          <w:trHeight w:val="251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DEFC88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proofErr w:type="gramStart"/>
            <w:r w:rsidRPr="002C40AE">
              <w:rPr>
                <w:rFonts w:cstheme="minorHAnsi"/>
                <w:kern w:val="0"/>
                <w:sz w:val="21"/>
                <w:szCs w:val="21"/>
              </w:rPr>
              <w:t>non</w:t>
            </w:r>
            <w:proofErr w:type="gramEnd"/>
            <w:r w:rsidRPr="002C40AE">
              <w:rPr>
                <w:rFonts w:cstheme="minorHAnsi"/>
                <w:kern w:val="0"/>
                <w:sz w:val="21"/>
                <w:szCs w:val="21"/>
              </w:rPr>
              <w:t>_smoker</w:t>
            </w:r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48AC872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r w:rsidRPr="002C40AE">
              <w:rPr>
                <w:rFonts w:cstheme="minorHAnsi"/>
                <w:kern w:val="0"/>
                <w:sz w:val="21"/>
                <w:szCs w:val="21"/>
              </w:rPr>
              <w:t>21 (9.9%)</w:t>
            </w:r>
          </w:p>
        </w:tc>
      </w:tr>
      <w:tr w:rsidR="006F10D1" w:rsidRPr="002C40AE" w14:paraId="4538C809" w14:textId="77777777" w:rsidTr="001254AE">
        <w:tblPrEx>
          <w:tblBorders>
            <w:top w:val="none" w:sz="0" w:space="0" w:color="auto"/>
          </w:tblBorders>
        </w:tblPrEx>
        <w:trPr>
          <w:trHeight w:val="265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34C1E96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proofErr w:type="gramStart"/>
            <w:r w:rsidRPr="002C40AE">
              <w:rPr>
                <w:rFonts w:cstheme="minorHAnsi"/>
                <w:kern w:val="0"/>
                <w:sz w:val="21"/>
                <w:szCs w:val="21"/>
              </w:rPr>
              <w:t>smoker</w:t>
            </w:r>
            <w:proofErr w:type="gramEnd"/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3E5B12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r w:rsidRPr="002C40AE">
              <w:rPr>
                <w:rFonts w:cstheme="minorHAnsi"/>
                <w:kern w:val="0"/>
                <w:sz w:val="21"/>
                <w:szCs w:val="21"/>
              </w:rPr>
              <w:t>60 (28%)</w:t>
            </w:r>
          </w:p>
        </w:tc>
      </w:tr>
      <w:tr w:rsidR="006F10D1" w:rsidRPr="002C40AE" w14:paraId="22902F3C" w14:textId="77777777" w:rsidTr="001254AE">
        <w:tblPrEx>
          <w:tblBorders>
            <w:top w:val="none" w:sz="0" w:space="0" w:color="auto"/>
          </w:tblBorders>
        </w:tblPrEx>
        <w:trPr>
          <w:trHeight w:val="265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5EDCE9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proofErr w:type="gramStart"/>
            <w:r w:rsidRPr="002C40AE">
              <w:rPr>
                <w:rFonts w:cstheme="minorHAnsi"/>
                <w:kern w:val="0"/>
                <w:sz w:val="21"/>
                <w:szCs w:val="21"/>
              </w:rPr>
              <w:t>ancient</w:t>
            </w:r>
            <w:proofErr w:type="gramEnd"/>
            <w:r w:rsidRPr="002C40AE">
              <w:rPr>
                <w:rFonts w:cstheme="minorHAnsi"/>
                <w:kern w:val="0"/>
                <w:sz w:val="21"/>
                <w:szCs w:val="21"/>
              </w:rPr>
              <w:t>_smoker</w:t>
            </w:r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84D8FBE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r w:rsidRPr="002C40AE">
              <w:rPr>
                <w:rFonts w:cstheme="minorHAnsi"/>
                <w:kern w:val="0"/>
                <w:sz w:val="21"/>
                <w:szCs w:val="21"/>
              </w:rPr>
              <w:t>132 (62%)</w:t>
            </w:r>
          </w:p>
        </w:tc>
      </w:tr>
      <w:tr w:rsidR="006F10D1" w:rsidRPr="002C40AE" w14:paraId="46B3A3AE" w14:textId="77777777" w:rsidTr="001254AE">
        <w:trPr>
          <w:trHeight w:val="265"/>
        </w:trPr>
        <w:tc>
          <w:tcPr>
            <w:tcW w:w="1666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070E804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b/>
                <w:bCs/>
                <w:kern w:val="0"/>
                <w:sz w:val="21"/>
                <w:szCs w:val="21"/>
              </w:rPr>
            </w:pPr>
            <w:proofErr w:type="gramStart"/>
            <w:r w:rsidRPr="002C40AE">
              <w:rPr>
                <w:rFonts w:cstheme="minorHAnsi"/>
                <w:b/>
                <w:bCs/>
                <w:kern w:val="0"/>
                <w:sz w:val="21"/>
                <w:szCs w:val="21"/>
              </w:rPr>
              <w:t>pack</w:t>
            </w:r>
            <w:proofErr w:type="gramEnd"/>
            <w:r w:rsidRPr="002C40AE">
              <w:rPr>
                <w:rFonts w:cstheme="minorHAnsi"/>
                <w:b/>
                <w:bCs/>
                <w:kern w:val="0"/>
                <w:sz w:val="21"/>
                <w:szCs w:val="21"/>
              </w:rPr>
              <w:t>_years</w:t>
            </w:r>
          </w:p>
        </w:tc>
        <w:tc>
          <w:tcPr>
            <w:tcW w:w="1162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681A569" w14:textId="77777777" w:rsidR="006F10D1" w:rsidRPr="002C40AE" w:rsidRDefault="006F10D1" w:rsidP="001254AE">
            <w:pPr>
              <w:autoSpaceDE w:val="0"/>
              <w:autoSpaceDN w:val="0"/>
              <w:adjustRightInd w:val="0"/>
              <w:spacing w:line="264" w:lineRule="auto"/>
              <w:rPr>
                <w:rFonts w:cstheme="minorHAnsi"/>
                <w:kern w:val="0"/>
                <w:sz w:val="21"/>
                <w:szCs w:val="21"/>
              </w:rPr>
            </w:pPr>
            <w:r w:rsidRPr="002C40AE">
              <w:rPr>
                <w:rFonts w:cstheme="minorHAnsi"/>
                <w:kern w:val="0"/>
                <w:sz w:val="21"/>
                <w:szCs w:val="21"/>
              </w:rPr>
              <w:t>40 (20, 50)</w:t>
            </w:r>
          </w:p>
        </w:tc>
      </w:tr>
    </w:tbl>
    <w:p w14:paraId="749B31AF" w14:textId="77777777" w:rsidR="006F10D1" w:rsidRDefault="006F10D1" w:rsidP="006F10D1">
      <w:pPr>
        <w:spacing w:line="264" w:lineRule="auto"/>
        <w:ind w:firstLine="708"/>
        <w:jc w:val="both"/>
        <w:rPr>
          <w:rFonts w:cstheme="minorHAnsi"/>
          <w:kern w:val="0"/>
          <w:sz w:val="21"/>
          <w:szCs w:val="21"/>
          <w:lang w:val="en-US"/>
        </w:rPr>
      </w:pPr>
      <w:r w:rsidRPr="002C40AE">
        <w:rPr>
          <w:rFonts w:cstheme="minorHAnsi"/>
          <w:i/>
          <w:iCs/>
          <w:noProof/>
          <w:kern w:val="0"/>
          <w:sz w:val="21"/>
          <w:szCs w:val="21"/>
          <w:vertAlign w:val="superscript"/>
          <w:lang w:val="en-US"/>
        </w:rPr>
        <w:drawing>
          <wp:anchor distT="0" distB="0" distL="114300" distR="114300" simplePos="0" relativeHeight="251661312" behindDoc="0" locked="0" layoutInCell="1" allowOverlap="1" wp14:anchorId="6A65D92B" wp14:editId="6049483F">
            <wp:simplePos x="0" y="0"/>
            <wp:positionH relativeFrom="column">
              <wp:posOffset>4638040</wp:posOffset>
            </wp:positionH>
            <wp:positionV relativeFrom="paragraph">
              <wp:posOffset>898525</wp:posOffset>
            </wp:positionV>
            <wp:extent cx="1969135" cy="1522095"/>
            <wp:effectExtent l="0" t="0" r="0" b="1905"/>
            <wp:wrapSquare wrapText="bothSides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One of the first steps was to complete the cohort database. Next, the data had to be wrangled using R software and language. For the moment, we have selected around 80 variables and excluded the ones containing more than 30% of missing values. A stricter exclusion could be performed. Survival analyses were performed for this cohort as described in Figure 1. Odds Ratio, Risk Ratio, and Hazard Ratio were also calculated for univariate regression. </w:t>
      </w:r>
    </w:p>
    <w:p w14:paraId="00CE00DD" w14:textId="77777777" w:rsidR="006F10D1" w:rsidRDefault="006F10D1" w:rsidP="006F10D1">
      <w:pPr>
        <w:spacing w:line="264" w:lineRule="auto"/>
        <w:ind w:firstLine="708"/>
        <w:jc w:val="both"/>
        <w:rPr>
          <w:rFonts w:cstheme="minorHAnsi"/>
          <w:kern w:val="0"/>
          <w:sz w:val="21"/>
          <w:szCs w:val="21"/>
          <w:lang w:val="en-US"/>
        </w:rPr>
      </w:pPr>
    </w:p>
    <w:p w14:paraId="7A03BC2E" w14:textId="77777777" w:rsidR="006F10D1" w:rsidRDefault="006F10D1" w:rsidP="006F10D1">
      <w:pPr>
        <w:spacing w:line="264" w:lineRule="auto"/>
        <w:ind w:firstLine="708"/>
        <w:jc w:val="both"/>
        <w:rPr>
          <w:rFonts w:cstheme="minorHAnsi"/>
          <w:kern w:val="0"/>
          <w:sz w:val="21"/>
          <w:szCs w:val="21"/>
          <w:lang w:val="en-US"/>
        </w:rPr>
      </w:pPr>
    </w:p>
    <w:p w14:paraId="7C571CC1" w14:textId="77777777" w:rsidR="006F10D1" w:rsidRPr="0076119E" w:rsidRDefault="006F10D1" w:rsidP="006F10D1">
      <w:pPr>
        <w:spacing w:line="264" w:lineRule="auto"/>
        <w:jc w:val="both"/>
        <w:rPr>
          <w:rFonts w:cstheme="minorHAnsi"/>
          <w:b/>
          <w:bCs/>
          <w:kern w:val="0"/>
          <w:sz w:val="21"/>
          <w:szCs w:val="21"/>
          <w:lang w:val="en-US"/>
        </w:rPr>
      </w:pP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>Table 1. Cohort description.</w:t>
      </w:r>
    </w:p>
    <w:p w14:paraId="34F72102" w14:textId="77777777" w:rsidR="006F10D1" w:rsidRPr="0076119E" w:rsidRDefault="006F10D1" w:rsidP="006F10D1">
      <w:pPr>
        <w:spacing w:line="264" w:lineRule="auto"/>
        <w:jc w:val="both"/>
        <w:rPr>
          <w:rFonts w:cstheme="minorHAnsi"/>
          <w:kern w:val="0"/>
          <w:sz w:val="21"/>
          <w:szCs w:val="21"/>
          <w:lang w:val="en-US"/>
        </w:rPr>
      </w:pPr>
      <w:r w:rsidRPr="002C40AE">
        <w:rPr>
          <w:rFonts w:cstheme="minorHAnsi"/>
          <w:i/>
          <w:iCs/>
          <w:kern w:val="0"/>
          <w:sz w:val="21"/>
          <w:szCs w:val="21"/>
          <w:vertAlign w:val="superscript"/>
          <w:lang w:val="en-US"/>
        </w:rPr>
        <w:t>1</w:t>
      </w:r>
      <w:r w:rsidRPr="002C40AE">
        <w:rPr>
          <w:rFonts w:cstheme="minorHAnsi"/>
          <w:kern w:val="0"/>
          <w:sz w:val="21"/>
          <w:szCs w:val="21"/>
          <w:lang w:val="en-US"/>
        </w:rPr>
        <w:t> n (%); Median (IQR); Rang</w:t>
      </w:r>
      <w:r>
        <w:rPr>
          <w:rFonts w:cstheme="minorHAnsi"/>
          <w:kern w:val="0"/>
          <w:sz w:val="21"/>
          <w:szCs w:val="21"/>
          <w:lang w:val="en-US"/>
        </w:rPr>
        <w:t>e</w:t>
      </w:r>
    </w:p>
    <w:p w14:paraId="0A244CAA" w14:textId="77503595" w:rsidR="006F10D1" w:rsidRPr="006F10D1" w:rsidRDefault="006F10D1" w:rsidP="006F10D1">
      <w:pPr>
        <w:spacing w:line="264" w:lineRule="auto"/>
        <w:jc w:val="right"/>
        <w:rPr>
          <w:rFonts w:cstheme="minorHAnsi"/>
          <w:b/>
          <w:bCs/>
          <w:kern w:val="0"/>
          <w:sz w:val="21"/>
          <w:szCs w:val="21"/>
          <w:lang w:val="en-US"/>
        </w:rPr>
      </w:pP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>Figure 1. Kaplan Meyer survival curve.</w:t>
      </w:r>
    </w:p>
    <w:p w14:paraId="2D9DBE98" w14:textId="77777777" w:rsidR="006F10D1" w:rsidRPr="002C40AE" w:rsidRDefault="006F10D1" w:rsidP="006F10D1">
      <w:pPr>
        <w:spacing w:line="264" w:lineRule="auto"/>
        <w:ind w:firstLine="708"/>
        <w:jc w:val="both"/>
        <w:rPr>
          <w:rFonts w:cstheme="minorHAnsi"/>
          <w:kern w:val="0"/>
          <w:sz w:val="21"/>
          <w:szCs w:val="21"/>
          <w:lang w:val="en-US"/>
        </w:rPr>
      </w:pPr>
      <w:r w:rsidRPr="002C40AE">
        <w:rPr>
          <w:rFonts w:cstheme="minorHAnsi"/>
          <w:b/>
          <w:bCs/>
          <w:noProof/>
          <w:kern w:val="0"/>
          <w:sz w:val="21"/>
          <w:szCs w:val="21"/>
          <w:lang w:val="en-US"/>
        </w:rPr>
        <w:drawing>
          <wp:anchor distT="0" distB="0" distL="114300" distR="114300" simplePos="0" relativeHeight="251662336" behindDoc="0" locked="0" layoutInCell="1" allowOverlap="1" wp14:anchorId="76657BDD" wp14:editId="0C9F1200">
            <wp:simplePos x="0" y="0"/>
            <wp:positionH relativeFrom="column">
              <wp:posOffset>-899795</wp:posOffset>
            </wp:positionH>
            <wp:positionV relativeFrom="paragraph">
              <wp:posOffset>301554</wp:posOffset>
            </wp:positionV>
            <wp:extent cx="2562225" cy="1275080"/>
            <wp:effectExtent l="0" t="0" r="3175" b="0"/>
            <wp:wrapSquare wrapText="bothSides"/>
            <wp:docPr id="4" name="Image 4" descr="Une image contenant car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cart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C40AE">
        <w:rPr>
          <w:rFonts w:cstheme="minorHAnsi"/>
          <w:kern w:val="0"/>
          <w:sz w:val="21"/>
          <w:szCs w:val="21"/>
          <w:lang w:val="en-US"/>
        </w:rPr>
        <w:t>Furthermore, to visualize and describe the TME, we design</w:t>
      </w:r>
      <w:r>
        <w:rPr>
          <w:rFonts w:cstheme="minorHAnsi"/>
          <w:kern w:val="0"/>
          <w:sz w:val="21"/>
          <w:szCs w:val="21"/>
          <w:lang w:val="en-US"/>
        </w:rPr>
        <w:t>ed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a panel of 6 antibodies considering multiple variables such as order or association with a tyramide-fluorophore. The staining is performed using the LEICA Bond automat</w:t>
      </w:r>
      <w:r>
        <w:rPr>
          <w:rFonts w:cstheme="minorHAnsi"/>
          <w:kern w:val="0"/>
          <w:sz w:val="21"/>
          <w:szCs w:val="21"/>
          <w:lang w:val="en-US"/>
        </w:rPr>
        <w:t xml:space="preserve"> on </w:t>
      </w:r>
      <w:r w:rsidRPr="002C40AE">
        <w:rPr>
          <w:rFonts w:cstheme="minorHAnsi"/>
          <w:kern w:val="0"/>
          <w:sz w:val="21"/>
          <w:szCs w:val="21"/>
          <w:lang w:val="en-US"/>
        </w:rPr>
        <w:t>the CHIC</w:t>
      </w:r>
      <w:r>
        <w:rPr>
          <w:rFonts w:cstheme="minorHAnsi"/>
          <w:kern w:val="0"/>
          <w:sz w:val="21"/>
          <w:szCs w:val="21"/>
          <w:lang w:val="en-US"/>
        </w:rPr>
        <w:t xml:space="preserve"> platform at CRC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. Once this panel will be fully optimized, we will be able to stain the whole cohort and </w:t>
      </w:r>
      <w:r>
        <w:rPr>
          <w:rFonts w:cstheme="minorHAnsi"/>
          <w:kern w:val="0"/>
          <w:sz w:val="21"/>
          <w:szCs w:val="21"/>
          <w:lang w:val="en-US"/>
        </w:rPr>
        <w:t>quantify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</w:t>
      </w:r>
      <w:r>
        <w:rPr>
          <w:rFonts w:cstheme="minorHAnsi"/>
          <w:kern w:val="0"/>
          <w:sz w:val="21"/>
          <w:szCs w:val="21"/>
          <w:lang w:val="en-US"/>
        </w:rPr>
        <w:t xml:space="preserve">it </w:t>
      </w:r>
      <w:r w:rsidRPr="002C40AE">
        <w:rPr>
          <w:rFonts w:cstheme="minorHAnsi"/>
          <w:kern w:val="0"/>
          <w:sz w:val="21"/>
          <w:szCs w:val="21"/>
          <w:lang w:val="en-US"/>
        </w:rPr>
        <w:t>using Halo Software.</w:t>
      </w:r>
    </w:p>
    <w:p w14:paraId="17A5A6D6" w14:textId="77777777" w:rsidR="006F10D1" w:rsidRPr="002C40AE" w:rsidRDefault="006F10D1" w:rsidP="006F10D1">
      <w:pPr>
        <w:spacing w:line="264" w:lineRule="auto"/>
        <w:jc w:val="both"/>
        <w:rPr>
          <w:rFonts w:cstheme="minorHAnsi"/>
          <w:b/>
          <w:bCs/>
          <w:kern w:val="0"/>
          <w:sz w:val="21"/>
          <w:szCs w:val="21"/>
          <w:lang w:val="en-US"/>
        </w:rPr>
      </w:pP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 xml:space="preserve">   Figure 2. Lung multiplex </w:t>
      </w:r>
      <w:r>
        <w:rPr>
          <w:rFonts w:cstheme="minorHAnsi"/>
          <w:b/>
          <w:bCs/>
          <w:kern w:val="0"/>
          <w:sz w:val="21"/>
          <w:szCs w:val="21"/>
          <w:lang w:val="en-US"/>
        </w:rPr>
        <w:t>IF</w:t>
      </w: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 xml:space="preserve"> staining image of the panel. (DAPI, PNAD, CD20, CD3, and pan-cytokeratin respectively stain the DNA, the </w:t>
      </w:r>
      <w:r>
        <w:rPr>
          <w:rFonts w:cstheme="minorHAnsi"/>
          <w:b/>
          <w:bCs/>
          <w:kern w:val="0"/>
          <w:sz w:val="21"/>
          <w:szCs w:val="21"/>
          <w:lang w:val="en-US"/>
        </w:rPr>
        <w:t>h</w:t>
      </w: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 xml:space="preserve">igh </w:t>
      </w:r>
      <w:r>
        <w:rPr>
          <w:rFonts w:cstheme="minorHAnsi"/>
          <w:b/>
          <w:bCs/>
          <w:kern w:val="0"/>
          <w:sz w:val="21"/>
          <w:szCs w:val="21"/>
          <w:lang w:val="en-US"/>
        </w:rPr>
        <w:t>e</w:t>
      </w: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 xml:space="preserve">ndothelium </w:t>
      </w:r>
      <w:r>
        <w:rPr>
          <w:rFonts w:cstheme="minorHAnsi"/>
          <w:b/>
          <w:bCs/>
          <w:kern w:val="0"/>
          <w:sz w:val="21"/>
          <w:szCs w:val="21"/>
          <w:lang w:val="en-US"/>
        </w:rPr>
        <w:t>v</w:t>
      </w: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>enule</w:t>
      </w:r>
      <w:r>
        <w:rPr>
          <w:rFonts w:cstheme="minorHAnsi"/>
          <w:b/>
          <w:bCs/>
          <w:kern w:val="0"/>
          <w:sz w:val="21"/>
          <w:szCs w:val="21"/>
          <w:lang w:val="en-US"/>
        </w:rPr>
        <w:t>s</w:t>
      </w: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 xml:space="preserve">, the B cells, the T cells, and the </w:t>
      </w:r>
      <w:r>
        <w:rPr>
          <w:rFonts w:cstheme="minorHAnsi"/>
          <w:b/>
          <w:bCs/>
          <w:kern w:val="0"/>
          <w:sz w:val="21"/>
          <w:szCs w:val="21"/>
          <w:lang w:val="en-US"/>
        </w:rPr>
        <w:t xml:space="preserve">tumor </w:t>
      </w: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 xml:space="preserve">cells. CD23 and Ki67 are respectively markers for TLS maturity and cellular </w:t>
      </w:r>
      <w:r>
        <w:rPr>
          <w:rFonts w:cstheme="minorHAnsi"/>
          <w:b/>
          <w:bCs/>
          <w:kern w:val="0"/>
          <w:sz w:val="21"/>
          <w:szCs w:val="21"/>
          <w:lang w:val="en-US"/>
        </w:rPr>
        <w:t>prolifera</w:t>
      </w:r>
      <w:r w:rsidRPr="002C40AE">
        <w:rPr>
          <w:rFonts w:cstheme="minorHAnsi"/>
          <w:b/>
          <w:bCs/>
          <w:kern w:val="0"/>
          <w:sz w:val="21"/>
          <w:szCs w:val="21"/>
          <w:lang w:val="en-US"/>
        </w:rPr>
        <w:t>tion.)</w:t>
      </w:r>
    </w:p>
    <w:p w14:paraId="48FE1C82" w14:textId="75739D3B" w:rsidR="006F10D1" w:rsidRPr="002C40AE" w:rsidRDefault="006F10D1" w:rsidP="006F10D1">
      <w:pPr>
        <w:spacing w:line="264" w:lineRule="auto"/>
        <w:ind w:firstLine="708"/>
        <w:jc w:val="both"/>
        <w:rPr>
          <w:rFonts w:cstheme="minorHAnsi"/>
          <w:kern w:val="0"/>
          <w:sz w:val="21"/>
          <w:szCs w:val="21"/>
          <w:lang w:val="en-US"/>
        </w:rPr>
      </w:pPr>
      <w:r w:rsidRPr="002C40AE">
        <w:rPr>
          <w:rFonts w:cstheme="minorHAnsi"/>
          <w:kern w:val="0"/>
          <w:sz w:val="21"/>
          <w:szCs w:val="21"/>
          <w:lang w:val="en-US"/>
        </w:rPr>
        <w:t>Transcriptomics analysis and optimization of a second multiplex I</w:t>
      </w:r>
      <w:r>
        <w:rPr>
          <w:rFonts w:cstheme="minorHAnsi"/>
          <w:kern w:val="0"/>
          <w:sz w:val="21"/>
          <w:szCs w:val="21"/>
          <w:lang w:val="en-US"/>
        </w:rPr>
        <w:t>F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</w:t>
      </w:r>
      <w:r>
        <w:rPr>
          <w:rFonts w:cstheme="minorHAnsi"/>
          <w:kern w:val="0"/>
          <w:sz w:val="21"/>
          <w:szCs w:val="21"/>
          <w:lang w:val="en-US"/>
        </w:rPr>
        <w:t xml:space="preserve">panel </w:t>
      </w:r>
      <w:r w:rsidRPr="002C40AE">
        <w:rPr>
          <w:rFonts w:cstheme="minorHAnsi"/>
          <w:kern w:val="0"/>
          <w:sz w:val="21"/>
          <w:szCs w:val="21"/>
          <w:lang w:val="en-US"/>
        </w:rPr>
        <w:t>— for fibroblasts</w:t>
      </w:r>
      <w:r>
        <w:rPr>
          <w:rFonts w:cstheme="minorHAnsi"/>
          <w:kern w:val="0"/>
          <w:sz w:val="21"/>
          <w:szCs w:val="21"/>
          <w:lang w:val="en-US"/>
        </w:rPr>
        <w:t xml:space="preserve">, lymphatic vessels, </w:t>
      </w:r>
      <w:r w:rsidRPr="002C40AE">
        <w:rPr>
          <w:rFonts w:cstheme="minorHAnsi"/>
          <w:kern w:val="0"/>
          <w:sz w:val="21"/>
          <w:szCs w:val="21"/>
          <w:lang w:val="en-US"/>
        </w:rPr>
        <w:t>and endothelial cells — are envisaged by the end of the internship.</w:t>
      </w:r>
    </w:p>
    <w:p w14:paraId="57988CFA" w14:textId="77777777" w:rsidR="006F10D1" w:rsidRPr="001254AE" w:rsidRDefault="006F10D1" w:rsidP="006F10D1">
      <w:pPr>
        <w:spacing w:line="264" w:lineRule="auto"/>
        <w:ind w:firstLine="708"/>
        <w:jc w:val="both"/>
        <w:rPr>
          <w:rFonts w:cstheme="minorHAnsi"/>
          <w:kern w:val="0"/>
          <w:sz w:val="21"/>
          <w:szCs w:val="21"/>
          <w:lang w:val="en-US"/>
        </w:rPr>
      </w:pPr>
      <w:r w:rsidRPr="002C40AE">
        <w:rPr>
          <w:rFonts w:cstheme="minorHAnsi"/>
          <w:kern w:val="0"/>
          <w:sz w:val="21"/>
          <w:szCs w:val="21"/>
          <w:lang w:val="en-US"/>
        </w:rPr>
        <w:t xml:space="preserve">We expect that the presence of immune infiltration and TLS </w:t>
      </w:r>
      <w:r>
        <w:rPr>
          <w:rFonts w:cstheme="minorHAnsi"/>
          <w:kern w:val="0"/>
          <w:sz w:val="21"/>
          <w:szCs w:val="21"/>
          <w:lang w:val="en-US"/>
        </w:rPr>
        <w:t>will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be associated with a better prognosis and that the cohort will be split into two groups:</w:t>
      </w:r>
      <w:r>
        <w:rPr>
          <w:rFonts w:cstheme="minorHAnsi"/>
          <w:kern w:val="0"/>
          <w:sz w:val="21"/>
          <w:szCs w:val="21"/>
          <w:lang w:val="en-US"/>
        </w:rPr>
        <w:t xml:space="preserve"> a/</w:t>
      </w:r>
      <w:r w:rsidRPr="001254AE">
        <w:rPr>
          <w:rFonts w:cstheme="minorHAnsi"/>
          <w:kern w:val="0"/>
          <w:sz w:val="21"/>
          <w:szCs w:val="21"/>
          <w:lang w:val="en-US"/>
        </w:rPr>
        <w:t>No or low immune infiltrat</w:t>
      </w:r>
      <w:r>
        <w:rPr>
          <w:rFonts w:cstheme="minorHAnsi"/>
          <w:kern w:val="0"/>
          <w:sz w:val="21"/>
          <w:szCs w:val="21"/>
          <w:lang w:val="en-US"/>
        </w:rPr>
        <w:t>e; b/</w:t>
      </w:r>
      <w:r w:rsidRPr="001254AE">
        <w:rPr>
          <w:rFonts w:cstheme="minorHAnsi"/>
          <w:kern w:val="0"/>
          <w:sz w:val="21"/>
          <w:szCs w:val="21"/>
          <w:lang w:val="en-US"/>
        </w:rPr>
        <w:t>Presence of immune infiltrate (organized in TLS or not).</w:t>
      </w:r>
      <w:r>
        <w:rPr>
          <w:rFonts w:cstheme="minorHAnsi"/>
          <w:kern w:val="0"/>
          <w:sz w:val="21"/>
          <w:szCs w:val="21"/>
          <w:lang w:val="en-US"/>
        </w:rPr>
        <w:t xml:space="preserve"> Finally, we expect to identify TME characteristics linked with these two distinct subgroups.</w:t>
      </w:r>
    </w:p>
    <w:p w14:paraId="2495CA4C" w14:textId="4D824E56" w:rsidR="006F10D1" w:rsidRPr="00C54889" w:rsidRDefault="006F10D1" w:rsidP="006F10D1">
      <w:pPr>
        <w:spacing w:line="264" w:lineRule="auto"/>
        <w:ind w:firstLine="708"/>
        <w:jc w:val="both"/>
        <w:rPr>
          <w:rFonts w:cstheme="minorHAnsi"/>
          <w:kern w:val="0"/>
          <w:sz w:val="21"/>
          <w:szCs w:val="21"/>
          <w:lang w:val="en-US"/>
        </w:rPr>
      </w:pPr>
      <w:r w:rsidRPr="002C40AE">
        <w:rPr>
          <w:rFonts w:cstheme="minorHAnsi"/>
          <w:kern w:val="0"/>
          <w:sz w:val="21"/>
          <w:szCs w:val="21"/>
          <w:lang w:val="en-US"/>
        </w:rPr>
        <w:t xml:space="preserve">I interact with researchers at the Research Center of Cordeliers such as Isabelle Cremer — who is my supervisor — and Catherine </w:t>
      </w:r>
      <w:proofErr w:type="spellStart"/>
      <w:r w:rsidRPr="002C40AE">
        <w:rPr>
          <w:rFonts w:cstheme="minorHAnsi"/>
          <w:kern w:val="0"/>
          <w:sz w:val="21"/>
          <w:szCs w:val="21"/>
          <w:lang w:val="en-US"/>
        </w:rPr>
        <w:t>Monnot</w:t>
      </w:r>
      <w:proofErr w:type="spellEnd"/>
      <w:r w:rsidRPr="002C40AE">
        <w:rPr>
          <w:rFonts w:cstheme="minorHAnsi"/>
          <w:kern w:val="0"/>
          <w:sz w:val="21"/>
          <w:szCs w:val="21"/>
          <w:lang w:val="en-US"/>
        </w:rPr>
        <w:t xml:space="preserve">, with MD Ph.D. at Cochin Hospital (Diane </w:t>
      </w:r>
      <w:proofErr w:type="spellStart"/>
      <w:r w:rsidRPr="002C40AE">
        <w:rPr>
          <w:rFonts w:cstheme="minorHAnsi"/>
          <w:kern w:val="0"/>
          <w:sz w:val="21"/>
          <w:szCs w:val="21"/>
          <w:lang w:val="en-US"/>
        </w:rPr>
        <w:t>Damotte</w:t>
      </w:r>
      <w:proofErr w:type="spellEnd"/>
      <w:r w:rsidRPr="002C40AE">
        <w:rPr>
          <w:rFonts w:cstheme="minorHAnsi"/>
          <w:kern w:val="0"/>
          <w:sz w:val="21"/>
          <w:szCs w:val="21"/>
          <w:lang w:val="en-US"/>
        </w:rPr>
        <w:t xml:space="preserve">, Marco </w:t>
      </w:r>
      <w:proofErr w:type="spellStart"/>
      <w:r w:rsidRPr="002C40AE">
        <w:rPr>
          <w:rFonts w:cstheme="minorHAnsi"/>
          <w:kern w:val="0"/>
          <w:sz w:val="21"/>
          <w:szCs w:val="21"/>
          <w:lang w:val="en-US"/>
        </w:rPr>
        <w:t>Alifano</w:t>
      </w:r>
      <w:proofErr w:type="spellEnd"/>
      <w:r w:rsidRPr="002C40AE">
        <w:rPr>
          <w:rFonts w:cstheme="minorHAnsi"/>
          <w:kern w:val="0"/>
          <w:sz w:val="21"/>
          <w:szCs w:val="21"/>
          <w:lang w:val="en-US"/>
        </w:rPr>
        <w:t xml:space="preserve">), with post-doctoral </w:t>
      </w:r>
      <w:r>
        <w:rPr>
          <w:rFonts w:cstheme="minorHAnsi"/>
          <w:kern w:val="0"/>
          <w:sz w:val="21"/>
          <w:szCs w:val="21"/>
          <w:lang w:val="en-US"/>
        </w:rPr>
        <w:t>students</w:t>
      </w:r>
      <w:r w:rsidRPr="002C40AE">
        <w:rPr>
          <w:rFonts w:cstheme="minorHAnsi"/>
          <w:kern w:val="0"/>
          <w:sz w:val="21"/>
          <w:szCs w:val="21"/>
          <w:lang w:val="en-US"/>
        </w:rPr>
        <w:t xml:space="preserve"> like </w:t>
      </w:r>
      <w:proofErr w:type="spellStart"/>
      <w:r w:rsidRPr="002C40AE">
        <w:rPr>
          <w:rFonts w:cstheme="minorHAnsi"/>
          <w:kern w:val="0"/>
          <w:sz w:val="21"/>
          <w:szCs w:val="21"/>
          <w:lang w:val="en-US"/>
        </w:rPr>
        <w:t>Yoan</w:t>
      </w:r>
      <w:proofErr w:type="spellEnd"/>
      <w:r w:rsidRPr="002C40AE">
        <w:rPr>
          <w:rFonts w:cstheme="minorHAnsi"/>
          <w:kern w:val="0"/>
          <w:sz w:val="21"/>
          <w:szCs w:val="21"/>
          <w:lang w:val="en-US"/>
        </w:rPr>
        <w:t xml:space="preserve"> </w:t>
      </w:r>
      <w:proofErr w:type="spellStart"/>
      <w:r w:rsidRPr="002C40AE">
        <w:rPr>
          <w:rFonts w:cstheme="minorHAnsi"/>
          <w:kern w:val="0"/>
          <w:sz w:val="21"/>
          <w:szCs w:val="21"/>
          <w:lang w:val="en-US"/>
        </w:rPr>
        <w:t>Velut</w:t>
      </w:r>
      <w:proofErr w:type="spellEnd"/>
      <w:r w:rsidRPr="002C40AE">
        <w:rPr>
          <w:rFonts w:cstheme="minorHAnsi"/>
          <w:kern w:val="0"/>
          <w:sz w:val="21"/>
          <w:szCs w:val="21"/>
          <w:lang w:val="en-US"/>
        </w:rPr>
        <w:t xml:space="preserve">, research engineers like Antoine </w:t>
      </w:r>
      <w:proofErr w:type="spellStart"/>
      <w:r w:rsidRPr="002C40AE">
        <w:rPr>
          <w:rFonts w:cstheme="minorHAnsi"/>
          <w:kern w:val="0"/>
          <w:sz w:val="21"/>
          <w:szCs w:val="21"/>
          <w:lang w:val="en-US"/>
        </w:rPr>
        <w:t>Bougouïn</w:t>
      </w:r>
      <w:proofErr w:type="spellEnd"/>
      <w:r w:rsidRPr="002C40AE">
        <w:rPr>
          <w:rFonts w:cstheme="minorHAnsi"/>
          <w:kern w:val="0"/>
          <w:sz w:val="21"/>
          <w:szCs w:val="21"/>
          <w:lang w:val="en-US"/>
        </w:rPr>
        <w:t xml:space="preserve"> or Julien Lavergne and other Master students (Mathilde Prieto).</w:t>
      </w:r>
    </w:p>
    <w:sectPr w:rsidR="006F10D1" w:rsidRPr="00C548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92637"/>
    <w:multiLevelType w:val="hybridMultilevel"/>
    <w:tmpl w:val="5C685672"/>
    <w:lvl w:ilvl="0" w:tplc="622CAFDE">
      <w:start w:val="2"/>
      <w:numFmt w:val="bullet"/>
      <w:lvlText w:val="-"/>
      <w:lvlJc w:val="left"/>
      <w:pPr>
        <w:ind w:left="426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5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3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10020" w:hanging="360"/>
      </w:pPr>
      <w:rPr>
        <w:rFonts w:ascii="Wingdings" w:hAnsi="Wingdings" w:hint="default"/>
      </w:rPr>
    </w:lvl>
  </w:abstractNum>
  <w:abstractNum w:abstractNumId="1" w15:restartNumberingAfterBreak="0">
    <w:nsid w:val="5D4C069C"/>
    <w:multiLevelType w:val="hybridMultilevel"/>
    <w:tmpl w:val="E3A0F99A"/>
    <w:lvl w:ilvl="0" w:tplc="5F9AFC26">
      <w:start w:val="2"/>
      <w:numFmt w:val="bullet"/>
      <w:lvlText w:val="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1584482">
    <w:abstractNumId w:val="1"/>
  </w:num>
  <w:num w:numId="2" w16cid:durableId="1312321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9A"/>
    <w:rsid w:val="00010466"/>
    <w:rsid w:val="0005289A"/>
    <w:rsid w:val="00064435"/>
    <w:rsid w:val="0009219C"/>
    <w:rsid w:val="0014746E"/>
    <w:rsid w:val="001549B6"/>
    <w:rsid w:val="00175B76"/>
    <w:rsid w:val="001C5299"/>
    <w:rsid w:val="00220A2C"/>
    <w:rsid w:val="00222694"/>
    <w:rsid w:val="00232401"/>
    <w:rsid w:val="00284C6F"/>
    <w:rsid w:val="002C0D5A"/>
    <w:rsid w:val="002C40AE"/>
    <w:rsid w:val="00336160"/>
    <w:rsid w:val="0033799A"/>
    <w:rsid w:val="003565C8"/>
    <w:rsid w:val="00356ACD"/>
    <w:rsid w:val="00392475"/>
    <w:rsid w:val="003A39BF"/>
    <w:rsid w:val="0043503C"/>
    <w:rsid w:val="0049351A"/>
    <w:rsid w:val="00580EEE"/>
    <w:rsid w:val="00595121"/>
    <w:rsid w:val="005A2AE1"/>
    <w:rsid w:val="00661439"/>
    <w:rsid w:val="00683D36"/>
    <w:rsid w:val="006920E7"/>
    <w:rsid w:val="006F10D1"/>
    <w:rsid w:val="0076119E"/>
    <w:rsid w:val="008B30AA"/>
    <w:rsid w:val="008D035B"/>
    <w:rsid w:val="00980235"/>
    <w:rsid w:val="00A149CB"/>
    <w:rsid w:val="00A40601"/>
    <w:rsid w:val="00A46EC2"/>
    <w:rsid w:val="00A67C31"/>
    <w:rsid w:val="00AB39EB"/>
    <w:rsid w:val="00AE1915"/>
    <w:rsid w:val="00B03B1F"/>
    <w:rsid w:val="00C44084"/>
    <w:rsid w:val="00C54889"/>
    <w:rsid w:val="00C6275E"/>
    <w:rsid w:val="00D133B4"/>
    <w:rsid w:val="00D70DBB"/>
    <w:rsid w:val="00D727D1"/>
    <w:rsid w:val="00D96FC0"/>
    <w:rsid w:val="00DB085E"/>
    <w:rsid w:val="00E630AF"/>
    <w:rsid w:val="00F0229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B7C7F"/>
  <w15:chartTrackingRefBased/>
  <w15:docId w15:val="{62911C01-3D2B-AA47-9033-E0509B689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33799A"/>
    <w:rPr>
      <w:b/>
      <w:bCs/>
    </w:rPr>
  </w:style>
  <w:style w:type="paragraph" w:styleId="NormalWeb">
    <w:name w:val="Normal (Web)"/>
    <w:basedOn w:val="Normal"/>
    <w:uiPriority w:val="99"/>
    <w:unhideWhenUsed/>
    <w:rsid w:val="00683D3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980235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6F10D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F10D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6F10D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6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84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5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4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956585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22576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75021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3629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795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Pierre-Alexis Da Costa</dc:creator>
  <cp:keywords/>
  <dc:description/>
  <cp:lastModifiedBy>Pierre-Alexis Da Costa</cp:lastModifiedBy>
  <cp:revision>3</cp:revision>
  <cp:lastPrinted>2023-03-24T15:15:00Z</cp:lastPrinted>
  <dcterms:created xsi:type="dcterms:W3CDTF">2023-03-24T15:15:00Z</dcterms:created>
  <dcterms:modified xsi:type="dcterms:W3CDTF">2023-03-24T15:16:00Z</dcterms:modified>
</cp:coreProperties>
</file>