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2798D49A" w:rsidR="00C3123F" w:rsidRDefault="004A4F61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8</w:t>
      </w:r>
      <w:r w:rsidR="00C1573D">
        <w:rPr>
          <w:rFonts w:asciiTheme="minorHAnsi" w:hAnsiTheme="minorHAnsi" w:cstheme="minorHAnsi"/>
          <w:b/>
        </w:rPr>
        <w:t xml:space="preserve"> lames de Ganglions et</w:t>
      </w:r>
      <w:r>
        <w:rPr>
          <w:rFonts w:asciiTheme="minorHAnsi" w:hAnsiTheme="minorHAnsi" w:cstheme="minorHAnsi"/>
          <w:b/>
        </w:rPr>
        <w:t xml:space="preserve"> 8 lames de </w:t>
      </w:r>
      <w:r w:rsidR="00C1573D">
        <w:rPr>
          <w:rFonts w:asciiTheme="minorHAnsi" w:hAnsiTheme="minorHAnsi" w:cstheme="minorHAnsi"/>
          <w:b/>
        </w:rPr>
        <w:t xml:space="preserve">poumon </w:t>
      </w:r>
      <w:r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>
        <w:rPr>
          <w:rFonts w:asciiTheme="minorHAnsi" w:hAnsiTheme="minorHAnsi" w:cstheme="minorHAnsi"/>
          <w:b/>
        </w:rPr>
        <w:t> :</w:t>
      </w:r>
      <w:r w:rsidR="00685348">
        <w:rPr>
          <w:rFonts w:asciiTheme="minorHAnsi" w:hAnsiTheme="minorHAnsi" w:cstheme="minorHAnsi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348" w14:paraId="7087876E" w14:textId="77777777" w:rsidTr="00685348">
        <w:tc>
          <w:tcPr>
            <w:tcW w:w="4675" w:type="dxa"/>
          </w:tcPr>
          <w:p w14:paraId="0E0C2DF6" w14:textId="42D998F5" w:rsidR="00685348" w:rsidRDefault="00685348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PNAD</w:t>
            </w:r>
          </w:p>
        </w:tc>
        <w:tc>
          <w:tcPr>
            <w:tcW w:w="4675" w:type="dxa"/>
          </w:tcPr>
          <w:p w14:paraId="044BF1CA" w14:textId="6D0DDBFB" w:rsidR="00685348" w:rsidRDefault="00685348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CD31</w:t>
            </w:r>
          </w:p>
        </w:tc>
      </w:tr>
      <w:tr w:rsidR="00685348" w14:paraId="53002D06" w14:textId="77777777" w:rsidTr="00685348">
        <w:tc>
          <w:tcPr>
            <w:tcW w:w="4675" w:type="dxa"/>
          </w:tcPr>
          <w:p w14:paraId="1A6377E1" w14:textId="4AD0E919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Lames_2AR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75" w:type="dxa"/>
          </w:tcPr>
          <w:p w14:paraId="74FAC262" w14:textId="0A4DF928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Lames_2AR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685348" w14:paraId="1CFF4920" w14:textId="77777777" w:rsidTr="00685348">
        <w:tc>
          <w:tcPr>
            <w:tcW w:w="4675" w:type="dxa"/>
          </w:tcPr>
          <w:p w14:paraId="48CC3019" w14:textId="36527EA1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Lames_4AR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75" w:type="dxa"/>
          </w:tcPr>
          <w:p w14:paraId="5C5DFEA8" w14:textId="6501D4D3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Lames_4AR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685348" w14:paraId="061D49D2" w14:textId="77777777" w:rsidTr="00685348">
        <w:tc>
          <w:tcPr>
            <w:tcW w:w="4675" w:type="dxa"/>
          </w:tcPr>
          <w:p w14:paraId="08A51F27" w14:textId="5455CBCB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Lames_6AR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75" w:type="dxa"/>
          </w:tcPr>
          <w:p w14:paraId="41A8DC6E" w14:textId="2A8F7DAC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Lames_6AR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685348" w14:paraId="0904324E" w14:textId="77777777" w:rsidTr="00685348">
        <w:tc>
          <w:tcPr>
            <w:tcW w:w="4675" w:type="dxa"/>
          </w:tcPr>
          <w:p w14:paraId="2CA5B94F" w14:textId="537E456A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Isotype</w:t>
            </w:r>
          </w:p>
        </w:tc>
        <w:tc>
          <w:tcPr>
            <w:tcW w:w="4675" w:type="dxa"/>
          </w:tcPr>
          <w:p w14:paraId="6CC2D221" w14:textId="54B60A2F" w:rsidR="00685348" w:rsidRDefault="00685348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Isotype</w:t>
            </w:r>
          </w:p>
        </w:tc>
      </w:tr>
    </w:tbl>
    <w:p w14:paraId="2D20F04A" w14:textId="6211FB78" w:rsidR="00685348" w:rsidRDefault="00685348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(1 fois pour le poumon et 1 fois pour le ganglion)</w:t>
      </w: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255A4A" w:rsidRPr="009733CB" w14:paraId="23B8AC28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15A87DB" w14:textId="77777777" w:rsidR="00E302A0" w:rsidRDefault="00C1573D" w:rsidP="00E302A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PNAd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clone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MECA-79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553863, BD</w:t>
            </w:r>
          </w:p>
        </w:tc>
        <w:tc>
          <w:tcPr>
            <w:tcW w:w="1247" w:type="dxa"/>
            <w:vAlign w:val="center"/>
          </w:tcPr>
          <w:p w14:paraId="491AC096" w14:textId="77777777" w:rsidR="00255A4A" w:rsidRDefault="00C1573D" w:rsidP="00255A4A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</w:t>
            </w:r>
            <w:r w:rsidR="00255A4A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5B2724" w14:textId="77777777" w:rsidR="00255A4A" w:rsidRDefault="00255A4A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1DF95218" w14:textId="77777777" w:rsidR="00255A4A" w:rsidRDefault="00C1573D" w:rsidP="008A0C5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</w:t>
            </w:r>
            <w:r w:rsidR="00255A4A"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0CF172C" w14:textId="0258D6A7" w:rsidR="004A4F61" w:rsidRPr="00B9755B" w:rsidRDefault="008A0C50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Poly 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rat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HRP</w:t>
            </w:r>
          </w:p>
        </w:tc>
      </w:tr>
      <w:tr w:rsidR="004A4F61" w:rsidRPr="004A4F61" w14:paraId="6792147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11AE8839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247" w:type="dxa"/>
            <w:vAlign w:val="center"/>
          </w:tcPr>
          <w:p w14:paraId="30F977AD" w14:textId="425B3EE3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2943F86B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1/200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45025759" w:rsidR="004A4F61" w:rsidRDefault="004E3B36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</w:t>
            </w:r>
            <w:r w:rsidR="004A4F61">
              <w:rPr>
                <w:rFonts w:asciiTheme="minorHAnsi" w:hAnsiTheme="minorHAnsi" w:cstheme="minorHAnsi"/>
                <w:b/>
                <w:sz w:val="20"/>
                <w:lang w:val="en-US"/>
              </w:rPr>
              <w:t>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1C446C67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529E1EF8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19" w:type="dxa"/>
            <w:vAlign w:val="center"/>
          </w:tcPr>
          <w:p w14:paraId="4CDD507C" w14:textId="0C6F9CD8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900µL</w:t>
            </w:r>
          </w:p>
        </w:tc>
        <w:tc>
          <w:tcPr>
            <w:tcW w:w="886" w:type="dxa"/>
            <w:vAlign w:val="center"/>
          </w:tcPr>
          <w:p w14:paraId="61657837" w14:textId="25469722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1800µL</w:t>
            </w:r>
          </w:p>
        </w:tc>
        <w:tc>
          <w:tcPr>
            <w:tcW w:w="829" w:type="dxa"/>
            <w:vAlign w:val="center"/>
          </w:tcPr>
          <w:p w14:paraId="0CC1C7A6" w14:textId="425F349F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2700µL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05CBA8F0" w:rsidR="008C681F" w:rsidRPr="00E25DC7" w:rsidRDefault="008861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1A32827F" w:rsidR="008C681F" w:rsidRPr="00014571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1813B5EF" w:rsidR="008C681F" w:rsidRPr="00014571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2700µL</w:t>
            </w:r>
          </w:p>
        </w:tc>
      </w:tr>
      <w:tr w:rsidR="008C681F" w:rsidRPr="00014571" w14:paraId="3DA5DD8E" w14:textId="77777777" w:rsidTr="009F7E36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bottom"/>
          </w:tcPr>
          <w:p w14:paraId="59DA9A93" w14:textId="3A3B801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PNAD)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3268EBE5" w14:textId="2722DEA5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IHC d</w:t>
            </w:r>
            <w:r w:rsidR="008C681F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iluent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bottom"/>
          </w:tcPr>
          <w:p w14:paraId="7E2E78A5" w14:textId="15C6E4CE" w:rsidR="008C681F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57D74495" w14:textId="3D179D50" w:rsidR="008C681F" w:rsidRPr="0058673E" w:rsidRDefault="00EA20F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86EDEAB" w14:textId="35F114A1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50613E75" w14:textId="2D8DBE2B" w:rsidR="008C681F" w:rsidRDefault="003C5AEB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600µL</w:t>
            </w:r>
          </w:p>
        </w:tc>
      </w:tr>
      <w:tr w:rsidR="008C681F" w:rsidRPr="00F522CB" w14:paraId="3BC9FA58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50655FEE" w14:textId="7777777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5C1E1935" w14:textId="77777777" w:rsidR="008C681F" w:rsidRPr="00E25DC7" w:rsidRDefault="008C681F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  <w:proofErr w:type="spellEnd"/>
          </w:p>
        </w:tc>
        <w:tc>
          <w:tcPr>
            <w:tcW w:w="1251" w:type="dxa"/>
            <w:shd w:val="clear" w:color="auto" w:fill="auto"/>
          </w:tcPr>
          <w:p w14:paraId="09B9E7BD" w14:textId="77777777" w:rsidR="008C681F" w:rsidRPr="00014571" w:rsidRDefault="008C681F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3BFBFD33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D2D6891" w14:textId="354F698F" w:rsidR="008C681F" w:rsidRPr="00014571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19" w:type="dxa"/>
            <w:vAlign w:val="center"/>
          </w:tcPr>
          <w:p w14:paraId="621150C0" w14:textId="25308977" w:rsidR="008C681F" w:rsidRPr="00F522CB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12µL</w:t>
            </w:r>
          </w:p>
        </w:tc>
        <w:tc>
          <w:tcPr>
            <w:tcW w:w="886" w:type="dxa"/>
            <w:vAlign w:val="center"/>
          </w:tcPr>
          <w:p w14:paraId="4D53B9EE" w14:textId="166D728F" w:rsidR="008C681F" w:rsidRPr="00F522CB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1188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2010B3AF" w14:textId="147E669E" w:rsidR="008C681F" w:rsidRPr="00F522CB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E614D9" w:rsidRPr="00F522CB" w14:paraId="7B055ACF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57F9C424" w14:textId="4FDEA55F" w:rsidR="00E614D9" w:rsidRPr="00E25DC7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(for PNAD)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E68534" w14:textId="2B7B1EA8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D90D37C" w14:textId="2D53D126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180E33B6" w14:textId="038B688A" w:rsidR="00E614D9" w:rsidRPr="0058673E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73E283AA" w14:textId="5FFBD392" w:rsidR="00E614D9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634" w:type="dxa"/>
            <w:gridSpan w:val="3"/>
            <w:vAlign w:val="center"/>
          </w:tcPr>
          <w:p w14:paraId="329436C1" w14:textId="02A8486C" w:rsidR="00E614D9" w:rsidRPr="00DB6499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1500µL</w:t>
            </w:r>
          </w:p>
        </w:tc>
      </w:tr>
      <w:tr w:rsidR="00F601EE" w:rsidRPr="00F522CB" w14:paraId="78A44508" w14:textId="77777777" w:rsidTr="00966159">
        <w:trPr>
          <w:trHeight w:hRule="exact" w:val="465"/>
        </w:trPr>
        <w:tc>
          <w:tcPr>
            <w:tcW w:w="1976" w:type="dxa"/>
            <w:vAlign w:val="bottom"/>
          </w:tcPr>
          <w:p w14:paraId="549267FF" w14:textId="31B3440B" w:rsidR="00F601EE" w:rsidRPr="00E25DC7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CD31)</w:t>
            </w:r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0FAC897E" w14:textId="2D083410" w:rsidR="00F601EE" w:rsidRPr="00966159" w:rsidRDefault="0096615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  <w:lang w:val="en-US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Cocktail 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IgG</w:t>
            </w: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, IgG2a, IgG2b, IgM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mouse</w:t>
            </w:r>
          </w:p>
        </w:tc>
        <w:tc>
          <w:tcPr>
            <w:tcW w:w="1251" w:type="dxa"/>
            <w:shd w:val="clear" w:color="auto" w:fill="auto"/>
          </w:tcPr>
          <w:p w14:paraId="692350CE" w14:textId="16A673F1" w:rsidR="00F601EE" w:rsidRDefault="0096615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Dako</w:t>
            </w:r>
            <w:proofErr w:type="spellEnd"/>
          </w:p>
        </w:tc>
        <w:tc>
          <w:tcPr>
            <w:tcW w:w="1061" w:type="dxa"/>
            <w:vAlign w:val="center"/>
          </w:tcPr>
          <w:p w14:paraId="0ADFEB38" w14:textId="35DF21B2" w:rsidR="00F601EE" w:rsidRPr="0058673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B4F8AE6" w14:textId="62C9A5E1" w:rsidR="00F601E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1E88940C" w14:textId="7DB5319D" w:rsidR="00F601E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600µL</w:t>
            </w:r>
          </w:p>
        </w:tc>
      </w:tr>
      <w:tr w:rsidR="00F601EE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000F733B" w:rsidR="00F601E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2AF5C3E4" w14:textId="6BC44ACA" w:rsidR="00F601EE" w:rsidRDefault="00F601EE" w:rsidP="00F601E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Abcam</w:t>
            </w:r>
            <w:proofErr w:type="spellEnd"/>
          </w:p>
        </w:tc>
        <w:tc>
          <w:tcPr>
            <w:tcW w:w="1061" w:type="dxa"/>
            <w:vAlign w:val="center"/>
          </w:tcPr>
          <w:p w14:paraId="3168D2AD" w14:textId="6476159A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2127A3EB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19" w:type="dxa"/>
            <w:vAlign w:val="center"/>
          </w:tcPr>
          <w:p w14:paraId="15E9A242" w14:textId="7F1937E3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886" w:type="dxa"/>
            <w:vAlign w:val="center"/>
          </w:tcPr>
          <w:p w14:paraId="3F02859C" w14:textId="2B1D1F28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1194µL</w:t>
            </w:r>
          </w:p>
        </w:tc>
        <w:tc>
          <w:tcPr>
            <w:tcW w:w="829" w:type="dxa"/>
            <w:vAlign w:val="center"/>
          </w:tcPr>
          <w:p w14:paraId="5ECC7E06" w14:textId="4D4AD82A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58673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554EEABC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440736EA" w:rsidR="00F601EE" w:rsidRPr="009E3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1500µL</w:t>
            </w:r>
          </w:p>
        </w:tc>
      </w:tr>
      <w:tr w:rsidR="00F601EE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F601EE" w:rsidRPr="00014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F601EE" w:rsidRPr="009E3571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402FB41E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19" w:type="dxa"/>
            <w:vAlign w:val="center"/>
          </w:tcPr>
          <w:p w14:paraId="154E7020" w14:textId="63D28A6B" w:rsidR="00F601EE" w:rsidRPr="009E3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3 gouttes</w:t>
            </w:r>
          </w:p>
        </w:tc>
        <w:tc>
          <w:tcPr>
            <w:tcW w:w="886" w:type="dxa"/>
            <w:vAlign w:val="center"/>
          </w:tcPr>
          <w:p w14:paraId="7D30341E" w14:textId="2A906157" w:rsidR="00F601EE" w:rsidRPr="009E3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3mL</w:t>
            </w:r>
          </w:p>
        </w:tc>
        <w:tc>
          <w:tcPr>
            <w:tcW w:w="829" w:type="dxa"/>
            <w:vAlign w:val="center"/>
          </w:tcPr>
          <w:p w14:paraId="3D4C6174" w14:textId="2B61BBE9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3mL</w:t>
            </w:r>
          </w:p>
        </w:tc>
      </w:tr>
      <w:tr w:rsidR="00F601EE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77777777" w:rsidR="00F601EE" w:rsidRPr="00602A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  <w:proofErr w:type="spellEnd"/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0CF1616" w:rsidR="00F601EE" w:rsidRPr="0058673E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132675CD" w14:textId="223EA141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3976D2C4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2700µL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2C2286F1" w14:textId="77777777" w:rsidR="004C69C2" w:rsidRDefault="00C3123F" w:rsidP="00667A61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p w14:paraId="59AD83FD" w14:textId="3CE161D3" w:rsidR="00B166F6" w:rsidRPr="00F677A0" w:rsidRDefault="00B166F6" w:rsidP="00F677A0">
      <w:pPr>
        <w:tabs>
          <w:tab w:val="left" w:pos="2179"/>
        </w:tabs>
        <w:jc w:val="both"/>
        <w:rPr>
          <w:b/>
          <w:color w:val="FF0000"/>
        </w:rPr>
      </w:pPr>
    </w:p>
    <w:sectPr w:rsidR="00B166F6" w:rsidRPr="00F677A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75A4" w14:textId="77777777" w:rsidR="008728C8" w:rsidRDefault="008728C8" w:rsidP="00C3123F">
      <w:pPr>
        <w:spacing w:after="0" w:line="240" w:lineRule="auto"/>
      </w:pPr>
      <w:r>
        <w:separator/>
      </w:r>
    </w:p>
  </w:endnote>
  <w:endnote w:type="continuationSeparator" w:id="0">
    <w:p w14:paraId="4E824A47" w14:textId="77777777" w:rsidR="008728C8" w:rsidRDefault="008728C8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7D06" w14:textId="77777777" w:rsidR="008728C8" w:rsidRDefault="008728C8" w:rsidP="00C3123F">
      <w:pPr>
        <w:spacing w:after="0" w:line="240" w:lineRule="auto"/>
      </w:pPr>
      <w:r>
        <w:separator/>
      </w:r>
    </w:p>
  </w:footnote>
  <w:footnote w:type="continuationSeparator" w:id="0">
    <w:p w14:paraId="71B57362" w14:textId="77777777" w:rsidR="008728C8" w:rsidRDefault="008728C8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1251A551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proofErr w:type="spellStart"/>
    <w:r w:rsidR="0097429C">
      <w:rPr>
        <w:b/>
        <w:color w:val="808080" w:themeColor="background1" w:themeShade="80"/>
        <w:sz w:val="36"/>
        <w:lang w:val="fr-FR"/>
      </w:rPr>
      <w:t>PNAd</w:t>
    </w:r>
    <w:proofErr w:type="spellEnd"/>
    <w:r w:rsidR="0097429C">
      <w:rPr>
        <w:b/>
        <w:color w:val="808080" w:themeColor="background1" w:themeShade="80"/>
        <w:sz w:val="36"/>
        <w:lang w:val="fr-FR"/>
      </w:rPr>
      <w:t xml:space="preserve"> (MECA-79)</w:t>
    </w:r>
    <w:r>
      <w:rPr>
        <w:b/>
        <w:color w:val="808080" w:themeColor="background1" w:themeShade="80"/>
        <w:sz w:val="36"/>
        <w:lang w:val="fr-FR"/>
      </w:rPr>
      <w:t xml:space="preserve"> &amp; CD31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4376E"/>
    <w:rsid w:val="000952D0"/>
    <w:rsid w:val="00117430"/>
    <w:rsid w:val="00170E94"/>
    <w:rsid w:val="00194883"/>
    <w:rsid w:val="00255A4A"/>
    <w:rsid w:val="00383285"/>
    <w:rsid w:val="003C5AEB"/>
    <w:rsid w:val="00427805"/>
    <w:rsid w:val="004A4F61"/>
    <w:rsid w:val="004C5119"/>
    <w:rsid w:val="004C69C2"/>
    <w:rsid w:val="004E3B36"/>
    <w:rsid w:val="00575DF5"/>
    <w:rsid w:val="005919C7"/>
    <w:rsid w:val="005A6F19"/>
    <w:rsid w:val="00602A71"/>
    <w:rsid w:val="00653260"/>
    <w:rsid w:val="00667A61"/>
    <w:rsid w:val="00685348"/>
    <w:rsid w:val="00726547"/>
    <w:rsid w:val="00763281"/>
    <w:rsid w:val="00770A2B"/>
    <w:rsid w:val="007D5349"/>
    <w:rsid w:val="008124E5"/>
    <w:rsid w:val="008258DB"/>
    <w:rsid w:val="008720F9"/>
    <w:rsid w:val="008728C8"/>
    <w:rsid w:val="008861D9"/>
    <w:rsid w:val="008A0C50"/>
    <w:rsid w:val="008C681F"/>
    <w:rsid w:val="008D7CCA"/>
    <w:rsid w:val="008F5964"/>
    <w:rsid w:val="00913C26"/>
    <w:rsid w:val="00963061"/>
    <w:rsid w:val="00966159"/>
    <w:rsid w:val="0097429C"/>
    <w:rsid w:val="0098151B"/>
    <w:rsid w:val="009B1AB1"/>
    <w:rsid w:val="009E3571"/>
    <w:rsid w:val="00B166F6"/>
    <w:rsid w:val="00B40100"/>
    <w:rsid w:val="00C07FDE"/>
    <w:rsid w:val="00C1573D"/>
    <w:rsid w:val="00C3123F"/>
    <w:rsid w:val="00C55DE9"/>
    <w:rsid w:val="00CB6731"/>
    <w:rsid w:val="00D23D5D"/>
    <w:rsid w:val="00DB51F2"/>
    <w:rsid w:val="00DB6499"/>
    <w:rsid w:val="00E302A0"/>
    <w:rsid w:val="00E614D9"/>
    <w:rsid w:val="00EA20F8"/>
    <w:rsid w:val="00F45CFE"/>
    <w:rsid w:val="00F601EE"/>
    <w:rsid w:val="00F6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27</cp:revision>
  <dcterms:created xsi:type="dcterms:W3CDTF">2023-01-30T15:40:00Z</dcterms:created>
  <dcterms:modified xsi:type="dcterms:W3CDTF">2023-02-21T16:35:00Z</dcterms:modified>
</cp:coreProperties>
</file>