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avons ensuite avec activer le DHCP, et le DNS-serveur, pour cela nous avons tout d’abord : 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 exclu les adresses des serveurs windows, web et de la caméra, respectivement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20.5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20.6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20.12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 désigné le vlan sur lequel configurer le dhcp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ip dhcp pool vlanXX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 puis l’adresse réseau de ce vlan avec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network 192.168.XX.0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le masque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255.255.255.0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 puis sa route par défaut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default-router 192.168.XX.1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 et pour finir l’on active le dns serveur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10.0.0.1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(dns-server pépinière),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puis une fois le dns server de windows server déployé, nous mettons l’adresse ip du serveur windows pour pouvoir sortir du réseau et re-rentrer ensuite pour pouvoir, par exemple accéder à notre site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ff0000"/>
        </w:rPr>
        <w:drawing>
          <wp:inline distB="114300" distT="114300" distL="114300" distR="114300">
            <wp:extent cx="3467100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