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F033C7" w14:textId="77777777" w:rsidR="0062329C" w:rsidRDefault="00000000">
      <w:pPr>
        <w:pStyle w:val="Titre"/>
      </w:pPr>
      <w:r>
        <w:t>Emploi en hausse, pauvreté qui ne recule plus : le travail protège-t-il encore ?</w:t>
      </w:r>
    </w:p>
    <w:p w14:paraId="5FFF6256" w14:textId="77777777" w:rsidR="0062329C" w:rsidRDefault="00000000">
      <w:pPr>
        <w:pStyle w:val="FirstParagraph"/>
      </w:pPr>
      <w:r>
        <w:t>Pierre Madec (OFCE, Sciences Po Paris)</w:t>
      </w:r>
    </w:p>
    <w:p w14:paraId="636C5F9F" w14:textId="56CB36BE" w:rsidR="0062329C" w:rsidRDefault="00000000" w:rsidP="00D122AF">
      <w:pPr>
        <w:pStyle w:val="Corpsdetexte"/>
        <w:pBdr>
          <w:bottom w:val="single" w:sz="6" w:space="1" w:color="auto"/>
        </w:pBdr>
        <w:jc w:val="both"/>
        <w:rPr>
          <w:sz w:val="21"/>
          <w:szCs w:val="21"/>
        </w:rPr>
      </w:pPr>
      <w:r w:rsidRPr="00D122AF">
        <w:rPr>
          <w:sz w:val="21"/>
          <w:szCs w:val="21"/>
        </w:rPr>
        <w:t xml:space="preserve">Depuis 2017, le taux d’emploi atteint des niveaux inédits depuis trente ans, mais le taux de pauvreté monétaire ne recule pas. À partir des données individuelles de l’ERFS (2005-2024), cet article </w:t>
      </w:r>
      <w:r w:rsidR="00D122AF">
        <w:rPr>
          <w:sz w:val="21"/>
          <w:szCs w:val="21"/>
        </w:rPr>
        <w:t>tente d’éclairer</w:t>
      </w:r>
      <w:r w:rsidRPr="00D122AF">
        <w:rPr>
          <w:sz w:val="21"/>
          <w:szCs w:val="21"/>
        </w:rPr>
        <w:t xml:space="preserve"> ce paradoxe. Entre 2017 et 2024, la hausse du taux d’emploi a mécaniquement retranché près d’un point au taux de pauvreté des 18-64 ans, mais cet effet a été plus qu’effacé par le décrochage des personnes sans emploi, dont la position se dégrade par rapport à la médiane sans que leur pouvoir d’achat baisse. La pauvreté laborieuse, elle, est restée stable au seuil relatif et a reculé à pouvoir d’achat constant (de 8,8 % à 6,4 % depuis 2005) : le paradoxe n’est donc pas d’abord un problème de travailleurs pauvres. Reste qu’elle n’a pas non plus reculé au seuil relatif quand l’emploi progressait, alors même que la population en emploi s’est nettement qualifiée — cette seule montée en qualification explique 40 % du recul observé à pouvoir d’achat constant. Le revenu d’un profil donné a progressé, mais moins vite que la médiane ; et l’effet amortisseur de la redistribution, après avoir doublé jusqu’en 2019, a reflué après cette date. Le travail continue de protéger de la pauvreté, et mieux qu’il y a vingt ans en pouvoir d’achat ; c’est son extension qui ne suffit plus à la faire reculer. Ces résultats plaident pour des instruments différenciés selon la configuration plutôt que pour un levier unique.</w:t>
      </w:r>
    </w:p>
    <w:p w14:paraId="668BEA46" w14:textId="77777777" w:rsidR="00D122AF" w:rsidRDefault="00D122AF" w:rsidP="00D122AF">
      <w:pPr>
        <w:pStyle w:val="Corpsdetexte"/>
        <w:pBdr>
          <w:bottom w:val="single" w:sz="6" w:space="1" w:color="auto"/>
        </w:pBdr>
        <w:jc w:val="both"/>
        <w:rPr>
          <w:sz w:val="21"/>
          <w:szCs w:val="21"/>
        </w:rPr>
      </w:pPr>
    </w:p>
    <w:p w14:paraId="6E7D3760" w14:textId="77777777" w:rsidR="00D122AF" w:rsidRPr="00D122AF" w:rsidRDefault="00D122AF" w:rsidP="00D122AF">
      <w:pPr>
        <w:pStyle w:val="Corpsdetexte"/>
        <w:jc w:val="both"/>
        <w:rPr>
          <w:sz w:val="21"/>
          <w:szCs w:val="21"/>
        </w:rPr>
      </w:pPr>
    </w:p>
    <w:p w14:paraId="4F9D438F" w14:textId="77777777" w:rsidR="0062329C" w:rsidRDefault="00000000">
      <w:pPr>
        <w:pStyle w:val="Corpsdetexte"/>
      </w:pPr>
      <w:r>
        <w:t>Jusqu’au milieu des années 2010, taux d’emploi et taux de pauvreté évoluaient de concert : l’emploi reculait et la pauvreté montait avec la crise de 2008-2009, puis les deux se stabilisaient, comme attendu d’une économie en cycle. Depuis 2017, les trajectoires divergent : le taux d’emploi des 18-64 ans a gagné près de quatre points, jusqu’à 73,7 % en 2024, son plus haut niveau depuis trente ans, tandis que le taux de pauvreté ne baisse pas — il dépasse de 0,5 point son niveau de 2018 (</w:t>
      </w:r>
      <w:r>
        <w:rPr>
          <w:b/>
          <w:bCs/>
        </w:rPr>
        <w:t>figure 1</w:t>
      </w:r>
      <w:r>
        <w:t>). Cette rupture avec la relation historique — plus d’emploi, moins de pauvreté — interroge la capacité du travail à protéger de la pauvreté. Elle se lit directement sur la pauvreté laborieuse, celle des personnes qui travaillent, dont la dynamique recoupe celle de la pauvreté monétaire d’ensemble [Madec, 2025] et que l’on suit ici sur données individuelles de l’ERFS, de 2005 à 2024.</w:t>
      </w:r>
    </w:p>
    <w:p w14:paraId="5F3594E5" w14:textId="77777777" w:rsidR="0062329C" w:rsidRDefault="00000000">
      <w:pPr>
        <w:pStyle w:val="Corpsdetexte"/>
      </w:pPr>
      <w:r>
        <w:rPr>
          <w:i/>
          <w:iCs/>
        </w:rPr>
        <w:lastRenderedPageBreak/>
        <w:t>[Figure 1 — Taux d’emploi et taux de pauvreté monétaire, 2005-2024. Données, unité et habillage : fichier tableur, onglet « Figure 1 ».]</w:t>
      </w:r>
    </w:p>
    <w:p w14:paraId="259E0E21" w14:textId="77777777" w:rsidR="0062329C" w:rsidRDefault="00000000">
      <w:pPr>
        <w:pStyle w:val="Titre2"/>
      </w:pPr>
      <w:bookmarkStart w:id="0" w:name="X604ed369ef2f28ef08eaab09f06e48db35e8901"/>
      <w:r>
        <w:t>Aux deux seuils, la même stagnation depuis 2021</w:t>
      </w:r>
    </w:p>
    <w:p w14:paraId="3B90C1E9" w14:textId="77777777" w:rsidR="0062329C" w:rsidRDefault="00000000">
      <w:pPr>
        <w:pStyle w:val="FirstParagraph"/>
      </w:pPr>
      <w:r>
        <w:t>Deux façons de mesurer la pauvreté doivent être distinguées. Le seuil relatif, fixé à 60 % du niveau de vie médian, bouge chaque année avec la médiane : un travailleur peut basculer en dessous sans que son niveau de vie ait baissé, simplement parce que le reste de la distribution progresse plus vite. Le seuil ancré, lui, est fixé à une année de référence — ici 2005 — et n’est ensuite revalorisé que de l’inflation : il mesure un pouvoir d’achat constant.</w:t>
      </w:r>
    </w:p>
    <w:p w14:paraId="3B6BCAC8" w14:textId="77777777" w:rsidR="0062329C" w:rsidRDefault="00000000">
      <w:pPr>
        <w:pStyle w:val="Corpsdetexte"/>
      </w:pPr>
      <w:r>
        <w:t>Sur vingt ans, les deux mesures divergent (</w:t>
      </w:r>
      <w:r>
        <w:rPr>
          <w:b/>
          <w:bCs/>
        </w:rPr>
        <w:t>figure 2</w:t>
      </w:r>
      <w:r>
        <w:t>). Au seuil ancré, la pauvreté laborieuse recule nettement, de 8,8 % à 6,4 % ; au seuil relatif, elle progresse, de 8,8 % à 10,1 %. Les travailleurs modestes ne se sont donc pas appauvris en pouvoir d’achat : leur position s’est dégradée par rapport à une médiane tirée non par les salaires, mais par les autres revenus. Sur la période, le revenu salarial du ménage médian ne gagne que 5 % en euros constants, quand ses pensions, revenus du patrimoine et revenus d’indépendants progressent de 30 %. Il ne s’agit pas d’un décrochage des bas salaires par rapport aux autres salaires : le Smic net progresse au contraire de 18 % en euros constants sur la période, bien plus vite que le revenu salarial médian. C’est la composition du revenu médian qui se déforme — le ménage situé au milieu de la distribution tire une part croissante de ses ressources de pensions et de revenus du patrimoine, que les travailleurs modestes ne perçoivent guère. Une part du décrochage relatif tient donc à cette recomposition, étrangère au marché du travail.</w:t>
      </w:r>
    </w:p>
    <w:p w14:paraId="314F2AE8" w14:textId="77777777" w:rsidR="0062329C" w:rsidRDefault="00000000">
      <w:pPr>
        <w:pStyle w:val="Corpsdetexte"/>
      </w:pPr>
      <w:r>
        <w:rPr>
          <w:i/>
          <w:iCs/>
        </w:rPr>
        <w:t>[Figure 2 — Taux de pauvreté des personnes en emploi selon le seuil retenu, 2005-2024. Données, unité et habillage : fichier tableur, onglet « Figure 2 ».]</w:t>
      </w:r>
    </w:p>
    <w:p w14:paraId="452DCE5D" w14:textId="77777777" w:rsidR="0062329C" w:rsidRDefault="00000000">
      <w:pPr>
        <w:pStyle w:val="Corpsdetexte"/>
      </w:pPr>
      <w:r>
        <w:t>Ce constat de longue période s’interrompt sur les dernières années. Après un point bas en 2021 (5,7 % au seuil ancré, 8,7 % au relatif), la pauvreté laborieuse remonte aux deux seuils : +0,7 point au seuil ancré et +1,4 au relatif entre 2021 et 2024. La stagnation récente n’est donc pas un simple effet de médiane — elle traduit une érosion effective du niveau de vie au bas de l’échelle, dont l’origine est examinée plus loin.</w:t>
      </w:r>
    </w:p>
    <w:p w14:paraId="09529596" w14:textId="77777777" w:rsidR="0062329C" w:rsidRDefault="00000000">
      <w:pPr>
        <w:pStyle w:val="Titre2"/>
      </w:pPr>
      <w:bookmarkStart w:id="1" w:name="X8178ff29898d01d00c9ac4c468c364dd5974e77"/>
      <w:bookmarkEnd w:id="0"/>
      <w:r>
        <w:lastRenderedPageBreak/>
        <w:t>L’effet de l’emploi, effacé par le décrochage des personnes sans emploi</w:t>
      </w:r>
    </w:p>
    <w:p w14:paraId="40416020" w14:textId="77777777" w:rsidR="0062329C" w:rsidRDefault="00000000">
      <w:pPr>
        <w:pStyle w:val="FirstParagraph"/>
      </w:pPr>
      <w:r>
        <w:t>On peut chiffrer directement ce que la hausse de l’emploi a fait au taux de pauvreté. Entre 2017 et 2024, parmi les 18-64 ans — le champ pertinent pour relier emploi et pauvreté —, la part des personnes en emploi passe de 69,7 % à 73,7 %. Sur la même période, le taux de pauvreté augmente de 0,8 point au seuil relatif, mais recule de 1,6 point au seuil ancré.</w:t>
      </w:r>
    </w:p>
    <w:tbl>
      <w:tblPr>
        <w:tblStyle w:val="Table"/>
        <w:tblW w:w="5000" w:type="pct"/>
        <w:tblLayout w:type="fixed"/>
        <w:tblLook w:val="0020" w:firstRow="1" w:lastRow="0" w:firstColumn="0" w:lastColumn="0" w:noHBand="0" w:noVBand="0"/>
      </w:tblPr>
      <w:tblGrid>
        <w:gridCol w:w="3800"/>
        <w:gridCol w:w="1477"/>
        <w:gridCol w:w="1477"/>
        <w:gridCol w:w="1266"/>
        <w:gridCol w:w="1266"/>
      </w:tblGrid>
      <w:tr w:rsidR="0062329C" w14:paraId="42C521D6" w14:textId="77777777" w:rsidTr="0062329C">
        <w:trPr>
          <w:cnfStyle w:val="100000000000" w:firstRow="1" w:lastRow="0" w:firstColumn="0" w:lastColumn="0" w:oddVBand="0" w:evenVBand="0" w:oddHBand="0" w:evenHBand="0" w:firstRowFirstColumn="0" w:firstRowLastColumn="0" w:lastRowFirstColumn="0" w:lastRowLastColumn="0"/>
          <w:tblHeader/>
        </w:trPr>
        <w:tc>
          <w:tcPr>
            <w:tcW w:w="3240" w:type="dxa"/>
          </w:tcPr>
          <w:p w14:paraId="27119427" w14:textId="77777777" w:rsidR="0062329C" w:rsidRDefault="00000000">
            <w:pPr>
              <w:pStyle w:val="Compact"/>
            </w:pPr>
            <w:r>
              <w:t>Taux de pauvreté des 18-64 ans (%)</w:t>
            </w:r>
          </w:p>
        </w:tc>
        <w:tc>
          <w:tcPr>
            <w:tcW w:w="1260" w:type="dxa"/>
          </w:tcPr>
          <w:p w14:paraId="686D5E8D" w14:textId="77777777" w:rsidR="0062329C" w:rsidRDefault="00000000">
            <w:pPr>
              <w:pStyle w:val="Compact"/>
              <w:jc w:val="right"/>
            </w:pPr>
            <w:r>
              <w:t>Relatif 2017</w:t>
            </w:r>
          </w:p>
        </w:tc>
        <w:tc>
          <w:tcPr>
            <w:tcW w:w="1260" w:type="dxa"/>
          </w:tcPr>
          <w:p w14:paraId="46D144E1" w14:textId="77777777" w:rsidR="0062329C" w:rsidRDefault="00000000">
            <w:pPr>
              <w:pStyle w:val="Compact"/>
              <w:jc w:val="right"/>
            </w:pPr>
            <w:r>
              <w:t>Relatif 2024</w:t>
            </w:r>
          </w:p>
        </w:tc>
        <w:tc>
          <w:tcPr>
            <w:tcW w:w="1080" w:type="dxa"/>
          </w:tcPr>
          <w:p w14:paraId="654C36AA" w14:textId="77777777" w:rsidR="0062329C" w:rsidRDefault="00000000">
            <w:pPr>
              <w:pStyle w:val="Compact"/>
              <w:jc w:val="right"/>
            </w:pPr>
            <w:r>
              <w:t>Ancré 2017</w:t>
            </w:r>
          </w:p>
        </w:tc>
        <w:tc>
          <w:tcPr>
            <w:tcW w:w="1080" w:type="dxa"/>
          </w:tcPr>
          <w:p w14:paraId="37DA0A2D" w14:textId="77777777" w:rsidR="0062329C" w:rsidRDefault="00000000">
            <w:pPr>
              <w:pStyle w:val="Compact"/>
              <w:jc w:val="right"/>
            </w:pPr>
            <w:r>
              <w:t>Ancré 2024</w:t>
            </w:r>
          </w:p>
        </w:tc>
      </w:tr>
      <w:tr w:rsidR="0062329C" w14:paraId="29F4C4D0" w14:textId="77777777">
        <w:tc>
          <w:tcPr>
            <w:tcW w:w="3240" w:type="dxa"/>
          </w:tcPr>
          <w:p w14:paraId="1FAFDF24" w14:textId="77777777" w:rsidR="0062329C" w:rsidRDefault="00000000">
            <w:pPr>
              <w:pStyle w:val="Compact"/>
            </w:pPr>
            <w:r>
              <w:t>Ensemble</w:t>
            </w:r>
          </w:p>
        </w:tc>
        <w:tc>
          <w:tcPr>
            <w:tcW w:w="1260" w:type="dxa"/>
          </w:tcPr>
          <w:p w14:paraId="39103E19" w14:textId="77777777" w:rsidR="0062329C" w:rsidRDefault="00000000">
            <w:pPr>
              <w:pStyle w:val="Compact"/>
              <w:jc w:val="right"/>
            </w:pPr>
            <w:r>
              <w:t>14,0</w:t>
            </w:r>
          </w:p>
        </w:tc>
        <w:tc>
          <w:tcPr>
            <w:tcW w:w="1260" w:type="dxa"/>
          </w:tcPr>
          <w:p w14:paraId="3F2B0CA4" w14:textId="77777777" w:rsidR="0062329C" w:rsidRDefault="00000000">
            <w:pPr>
              <w:pStyle w:val="Compact"/>
              <w:jc w:val="right"/>
            </w:pPr>
            <w:r>
              <w:t>14,8</w:t>
            </w:r>
          </w:p>
        </w:tc>
        <w:tc>
          <w:tcPr>
            <w:tcW w:w="1080" w:type="dxa"/>
          </w:tcPr>
          <w:p w14:paraId="7190B4F6" w14:textId="77777777" w:rsidR="0062329C" w:rsidRDefault="00000000">
            <w:pPr>
              <w:pStyle w:val="Compact"/>
              <w:jc w:val="right"/>
            </w:pPr>
            <w:r>
              <w:t>11,5</w:t>
            </w:r>
          </w:p>
        </w:tc>
        <w:tc>
          <w:tcPr>
            <w:tcW w:w="1080" w:type="dxa"/>
          </w:tcPr>
          <w:p w14:paraId="577B22D9" w14:textId="77777777" w:rsidR="0062329C" w:rsidRDefault="00000000">
            <w:pPr>
              <w:pStyle w:val="Compact"/>
              <w:jc w:val="right"/>
            </w:pPr>
            <w:r>
              <w:t>9,9</w:t>
            </w:r>
          </w:p>
        </w:tc>
      </w:tr>
      <w:tr w:rsidR="0062329C" w14:paraId="7F426A10" w14:textId="77777777">
        <w:tc>
          <w:tcPr>
            <w:tcW w:w="3240" w:type="dxa"/>
          </w:tcPr>
          <w:p w14:paraId="2E2F1B35" w14:textId="77777777" w:rsidR="0062329C" w:rsidRDefault="00000000">
            <w:pPr>
              <w:pStyle w:val="Compact"/>
            </w:pPr>
            <w:r>
              <w:t>Personnes en emploi</w:t>
            </w:r>
          </w:p>
        </w:tc>
        <w:tc>
          <w:tcPr>
            <w:tcW w:w="1260" w:type="dxa"/>
          </w:tcPr>
          <w:p w14:paraId="60338A35" w14:textId="77777777" w:rsidR="0062329C" w:rsidRDefault="00000000">
            <w:pPr>
              <w:pStyle w:val="Compact"/>
              <w:jc w:val="right"/>
            </w:pPr>
            <w:r>
              <w:t>8,3</w:t>
            </w:r>
          </w:p>
        </w:tc>
        <w:tc>
          <w:tcPr>
            <w:tcW w:w="1260" w:type="dxa"/>
          </w:tcPr>
          <w:p w14:paraId="3449F7CF" w14:textId="77777777" w:rsidR="0062329C" w:rsidRDefault="00000000">
            <w:pPr>
              <w:pStyle w:val="Compact"/>
              <w:jc w:val="right"/>
            </w:pPr>
            <w:r>
              <w:t>8,4</w:t>
            </w:r>
          </w:p>
        </w:tc>
        <w:tc>
          <w:tcPr>
            <w:tcW w:w="1080" w:type="dxa"/>
          </w:tcPr>
          <w:p w14:paraId="14B490E6" w14:textId="77777777" w:rsidR="0062329C" w:rsidRDefault="00000000">
            <w:pPr>
              <w:pStyle w:val="Compact"/>
              <w:jc w:val="right"/>
            </w:pPr>
            <w:r>
              <w:t>6,6</w:t>
            </w:r>
          </w:p>
        </w:tc>
        <w:tc>
          <w:tcPr>
            <w:tcW w:w="1080" w:type="dxa"/>
          </w:tcPr>
          <w:p w14:paraId="6E279314" w14:textId="77777777" w:rsidR="0062329C" w:rsidRDefault="00000000">
            <w:pPr>
              <w:pStyle w:val="Compact"/>
              <w:jc w:val="right"/>
            </w:pPr>
            <w:r>
              <w:t>5,3</w:t>
            </w:r>
          </w:p>
        </w:tc>
      </w:tr>
      <w:tr w:rsidR="0062329C" w14:paraId="4BD3ABA7" w14:textId="77777777">
        <w:tc>
          <w:tcPr>
            <w:tcW w:w="3240" w:type="dxa"/>
          </w:tcPr>
          <w:p w14:paraId="31EBD522" w14:textId="77777777" w:rsidR="0062329C" w:rsidRDefault="00000000">
            <w:pPr>
              <w:pStyle w:val="Compact"/>
            </w:pPr>
            <w:r>
              <w:t>Personnes sans emploi</w:t>
            </w:r>
          </w:p>
        </w:tc>
        <w:tc>
          <w:tcPr>
            <w:tcW w:w="1260" w:type="dxa"/>
          </w:tcPr>
          <w:p w14:paraId="3F5C53CA" w14:textId="77777777" w:rsidR="0062329C" w:rsidRDefault="00000000">
            <w:pPr>
              <w:pStyle w:val="Compact"/>
              <w:jc w:val="right"/>
            </w:pPr>
            <w:r>
              <w:t>27,1</w:t>
            </w:r>
          </w:p>
        </w:tc>
        <w:tc>
          <w:tcPr>
            <w:tcW w:w="1260" w:type="dxa"/>
          </w:tcPr>
          <w:p w14:paraId="54074F70" w14:textId="77777777" w:rsidR="0062329C" w:rsidRDefault="00000000">
            <w:pPr>
              <w:pStyle w:val="Compact"/>
              <w:jc w:val="right"/>
            </w:pPr>
            <w:r>
              <w:t>32,7</w:t>
            </w:r>
          </w:p>
        </w:tc>
        <w:tc>
          <w:tcPr>
            <w:tcW w:w="1080" w:type="dxa"/>
          </w:tcPr>
          <w:p w14:paraId="377F5A79" w14:textId="77777777" w:rsidR="0062329C" w:rsidRDefault="00000000">
            <w:pPr>
              <w:pStyle w:val="Compact"/>
              <w:jc w:val="right"/>
            </w:pPr>
            <w:r>
              <w:t>22,7</w:t>
            </w:r>
          </w:p>
        </w:tc>
        <w:tc>
          <w:tcPr>
            <w:tcW w:w="1080" w:type="dxa"/>
          </w:tcPr>
          <w:p w14:paraId="2BBEA52E" w14:textId="77777777" w:rsidR="0062329C" w:rsidRDefault="00000000">
            <w:pPr>
              <w:pStyle w:val="Compact"/>
              <w:jc w:val="right"/>
            </w:pPr>
            <w:r>
              <w:t>23,0</w:t>
            </w:r>
          </w:p>
        </w:tc>
      </w:tr>
    </w:tbl>
    <w:p w14:paraId="126D0C9F" w14:textId="77777777" w:rsidR="0062329C" w:rsidRDefault="00000000">
      <w:pPr>
        <w:pStyle w:val="Corpsdetexte"/>
      </w:pPr>
      <w:r>
        <w:t>Au seuil relatif, une décomposition comptable partage la variation entre l’effet de la déformation de la population et l’effet de l’évolution du taux de pauvreté à l’intérieur de chaque groupe (</w:t>
      </w:r>
      <w:r>
        <w:rPr>
          <w:b/>
          <w:bCs/>
        </w:rPr>
        <w:t>figure 3</w:t>
      </w:r>
      <w:r>
        <w:t>). La hausse du taux d’emploi a bien retranché près d’un point de pauvreté (−0,8 point) : l’emploi protège toujours — le taux de pauvreté des personnes en emploi est le quart de celui des personnes sans emploi — et son extension a joué dans le bon sens. Mais deux forces l’ont emporté. La pauvreté laborieuse, d’abord, n’a pas reculé : son taux est resté stable, que l’on considère l’ensemble des personnes en emploi (8,4 %) ou les seules personnes de référence du ménage (10,1 %, champ retenu dans la suite de l’article), alors que la hausse de l’emploi aurait dû l’entraîner à la baisse. La pauvreté des personnes sans emploi, surtout, bondit — de 27 % à 33 % — et ajoute à elle seule 1,7 point au taux d’ensemble.</w:t>
      </w:r>
    </w:p>
    <w:p w14:paraId="7C89F943" w14:textId="77777777" w:rsidR="0062329C" w:rsidRDefault="00000000">
      <w:pPr>
        <w:pStyle w:val="Corpsdetexte"/>
      </w:pPr>
      <w:r>
        <w:rPr>
          <w:i/>
          <w:iCs/>
        </w:rPr>
        <w:t>[Figure 3 — Décomposition de la variation du taux de pauvreté des 18-64 ans entre 2017 et 2024. Données, unité et habillage : fichier tableur, onglet « Figure 3 ».]</w:t>
      </w:r>
    </w:p>
    <w:p w14:paraId="542C86CF" w14:textId="77777777" w:rsidR="0062329C" w:rsidRDefault="00000000">
      <w:pPr>
        <w:pStyle w:val="Corpsdetexte"/>
      </w:pPr>
      <w:r>
        <w:t xml:space="preserve">Ce décrochage est toutefois de nature relative. Au seuil ancré, le taux de pauvreté des personnes sans emploi est stable (22,7 % puis 23,0 %) : leur pouvoir d’achat ne s’est pas dégradé, c’est le seuil qui s’est éloigné d’elles. Sur l’ensemble des 18-64 ans, la pauvreté ancrée recule même de 1,6 point. Deux facteurs y contribuent, qui </w:t>
      </w:r>
      <w:r>
        <w:lastRenderedPageBreak/>
        <w:t>débordent le champ de cet article : la médiane progresse plus vite que le bas de la distribution, et le groupe des personnes sans emploi s’est réduit de 11,1 à 9,6 millions — celles qui en sont sorties vers l’emploi étant les plus employables, ce qui dégrade mécaniquement la situation moyenne de celles qui restent. Le décrochage se concentre d’ailleurs sur les inactifs (de 24,0 % à 31,7 % au seuil relatif), les chômeurs voyant leur situation s’améliorer aux deux seuils.</w:t>
      </w:r>
    </w:p>
    <w:p w14:paraId="4B3C9C9F" w14:textId="77777777" w:rsidR="0062329C" w:rsidRDefault="00000000">
      <w:pPr>
        <w:pStyle w:val="Corpsdetexte"/>
      </w:pPr>
      <w:r>
        <w:t>Le paradoxe « emploi record, pauvreté qui ne recule pas » n’est donc pas d’abord une affaire de pauvreté laborieuse : celle-ci a tenu. Sa stabilité apparente masque toutefois un creux — 10,1 % en 2017, 8,7 % en 2021, 10,1 % en 2024 pour les personnes de référence en emploi. Reste à comprendre pourquoi, l’emploi progressant, elle n’a pas reculé — et pourquoi, à pouvoir d’achat constant, elle remonte depuis ce point bas.</w:t>
      </w:r>
    </w:p>
    <w:p w14:paraId="6F516F67" w14:textId="77777777" w:rsidR="0062329C" w:rsidRDefault="00000000">
      <w:pPr>
        <w:pStyle w:val="Titre2"/>
      </w:pPr>
      <w:bookmarkStart w:id="2" w:name="qui-sont-les-travailleurs-pauvres"/>
      <w:bookmarkEnd w:id="1"/>
      <w:r>
        <w:t>Qui sont les travailleurs pauvres</w:t>
      </w:r>
    </w:p>
    <w:p w14:paraId="222BB4FC" w14:textId="77777777" w:rsidR="0062329C" w:rsidRDefault="00000000">
      <w:pPr>
        <w:pStyle w:val="FirstParagraph"/>
      </w:pPr>
      <w:r>
        <w:t>Travailler et rester pauvre n’a pas le même sens selon la situation du ménage, un même salaire pouvant alimenter un, deux ou trois budgets. Le taux de pauvreté des personnes de référence en emploi va de 3 % pour les couples biactifs sans enfant à 29 % pour les couples monoactifs avec enfants et 19 % pour les familles monoparentales, qui cumulent revenu unique et charges d’enfants (</w:t>
      </w:r>
      <w:r>
        <w:rPr>
          <w:b/>
          <w:bCs/>
        </w:rPr>
        <w:t>figure 4</w:t>
      </w:r>
      <w:r>
        <w:t>). Au total, 83 % des travailleurs pauvres vivent d’un revenu d’activité unique ; quatre configurations en concentrent l’essentiel — personnes seules (29 %), couples monoactifs avec enfants (23 %), familles monoparentales (21 %), couples biactifs avec enfants (12 %). Cette mesure au niveau du ménage a un angle mort, les inégalités de genre : au niveau individuel, la pauvreté laborieuse n’est pas plus fréquente pour les femmes, alors qu’elles occupent des emplois nettement plus précaires et moins rémunérés (</w:t>
      </w:r>
      <w:r>
        <w:rPr>
          <w:b/>
          <w:bCs/>
        </w:rPr>
        <w:t>encadré 1</w:t>
      </w:r>
      <w:r>
        <w:t>).</w:t>
      </w:r>
    </w:p>
    <w:p w14:paraId="01CAF70D" w14:textId="77777777" w:rsidR="0062329C" w:rsidRDefault="00000000">
      <w:pPr>
        <w:pStyle w:val="Corpsdetexte"/>
      </w:pPr>
      <w:r>
        <w:rPr>
          <w:i/>
          <w:iCs/>
        </w:rPr>
        <w:t>[Figure 4 — Taux de pauvreté laborieuse selon la configuration du ménage, 2005-2024. Données, unité et habillage : fichier tableur, onglet « Figure 4 ».]</w:t>
      </w:r>
    </w:p>
    <w:p w14:paraId="6274567B" w14:textId="77777777" w:rsidR="0062329C" w:rsidRDefault="00000000">
      <w:pPr>
        <w:pStyle w:val="Corpsdetexte"/>
      </w:pPr>
      <w:r>
        <w:t>Le déficit de volume de travail est la première marque de cette population : 32 % des travailleurs pauvres sont à temps partiel, contre 14 % de l’ensemble des personnes en emploi, et jusqu’à 50 % chez les familles monoparentales pauvres (</w:t>
      </w:r>
      <w:r>
        <w:rPr>
          <w:b/>
          <w:bCs/>
        </w:rPr>
        <w:t>figure 5</w:t>
      </w:r>
      <w:r>
        <w:t xml:space="preserve">). L’écart au seuil est le plus profond pour les personnes seules — 28 % du seuil en </w:t>
      </w:r>
      <w:r>
        <w:lastRenderedPageBreak/>
        <w:t>médiane, près de la moitié à plus de 30 % en dessous — et le plus resserré pour les couples avec enfants. L’accès à un temps plein n’est toutefois qu’un levier partiel : simulé sous la maquette SoFi [Pucci, 2022] pour une personne seule locataire (</w:t>
      </w:r>
      <w:r>
        <w:rPr>
          <w:b/>
          <w:bCs/>
        </w:rPr>
        <w:t>encadré 2</w:t>
      </w:r>
      <w:r>
        <w:t>), le passage d’un mi-temps au Smic à un temps plein double le salaire mais n’élève le niveau de vie que d’un tiers, la prime d’activité et les aides au logement se retirant à mesure. Surtout, deux tiers des travailleurs pauvres travaillent déjà à temps plein. Le calendrier mensuel d’activité, disponible depuis 2021, permet d’y distinguer deux situations d’égale importance. Un tiers d’entre eux n’ont pas travaillé toute l’année — six mois en médiane : c’est l’intermittence de l’emploi qui est en cause. Un quart, à l’inverse, ont travaillé douze mois pour un revenu d’activité qui, à lui seul, dépasserait le seuil de pauvreté d’une personne seule ; ils sont pauvres parce que ce revenu doit couvrir un ménage de deux unités de consommation ou plus, le plus souvent un couple avec enfants. Rapportés à l’ensemble des travailleurs pauvres, ces deux canaux pèsent d’un poids comparable — 22 % et 18 %. Le risque de pauvreté est d’ailleurs très sensible à la durée travaillée : 7,6 % pour ceux qui ont travaillé douze mois, contre 13 % de neuf à onze mois et 34 % en deçà de six mois.</w:t>
      </w:r>
    </w:p>
    <w:p w14:paraId="2426A5B2" w14:textId="77777777" w:rsidR="0062329C" w:rsidRDefault="00000000">
      <w:pPr>
        <w:pStyle w:val="Corpsdetexte"/>
      </w:pPr>
      <w:r>
        <w:rPr>
          <w:i/>
          <w:iCs/>
        </w:rPr>
        <w:t>[Figure 5 — Part de temps partiel parmi les personnes de référence en emploi, par configuration de ménage, 2022-2024. Données, unité et habillage : fichier tableur, onglet « Figure 5 ».]</w:t>
      </w:r>
    </w:p>
    <w:p w14:paraId="79AF758D" w14:textId="77777777" w:rsidR="0062329C" w:rsidRDefault="00000000">
      <w:pPr>
        <w:pStyle w:val="Titre2"/>
      </w:pPr>
      <w:bookmarkStart w:id="3" w:name="X18063784a107541789dec6e8995c37861ac4a89"/>
      <w:bookmarkEnd w:id="2"/>
      <w:r>
        <w:t>Une population mieux qualifiée, une pauvreté qui ne recule qu’à pouvoir d’achat constant</w:t>
      </w:r>
    </w:p>
    <w:p w14:paraId="5B3DA4E5" w14:textId="77777777" w:rsidR="0062329C" w:rsidRDefault="00000000">
      <w:pPr>
        <w:pStyle w:val="FirstParagraph"/>
      </w:pPr>
      <w:r>
        <w:t>Le taux de pauvreté laborieuse est resté stable là où la hausse de l’emploi aurait dû le faire reculer. Une décomposition de Oaxaca-Blinder, comparant les travailleurs de 2010-2012 à ceux de 2022-2024 — deux périodes de trois ans distantes d’une décennie —, partage cette variation en un effet de composition — la population en emploi s’est-elle déplacée vers des profils plus ou moins exposés ? — et un effet de coefficients — à profil identique, la pauvreté a-t-elle bougé ? Sept caractéristiques sont contrôlées : configuration du ménage, âge, sexe, origine migratoire, statut d’occupation du logement, diplôme et catégorie socioprofessionnelle. La décomposition est conduite aux deux seuils (</w:t>
      </w:r>
      <w:r>
        <w:rPr>
          <w:b/>
          <w:bCs/>
        </w:rPr>
        <w:t>figure 6</w:t>
      </w:r>
      <w:r>
        <w:t>).</w:t>
      </w:r>
    </w:p>
    <w:p w14:paraId="66EBDD00" w14:textId="77777777" w:rsidR="0062329C" w:rsidRDefault="00000000">
      <w:pPr>
        <w:pStyle w:val="Corpsdetexte"/>
      </w:pPr>
      <w:r>
        <w:rPr>
          <w:i/>
          <w:iCs/>
        </w:rPr>
        <w:lastRenderedPageBreak/>
        <w:t>[Figure 6 — Décomposition de Oaxaca-Blinder du taux de pauvreté parmi les travailleurs, 2010-2012 / 2022-2024. Données, unité et habillage : fichier tableur, onglet « Figure 6 ».]</w:t>
      </w:r>
    </w:p>
    <w:p w14:paraId="018A33DA" w14:textId="77777777" w:rsidR="0062329C" w:rsidRDefault="00000000">
      <w:pPr>
        <w:pStyle w:val="Corpsdetexte"/>
      </w:pPr>
      <w:r>
        <w:t xml:space="preserve">L’effet de composition est négatif et </w:t>
      </w:r>
      <w:r>
        <w:rPr>
          <w:b/>
          <w:bCs/>
        </w:rPr>
        <w:t>identique aux deux seuils</w:t>
      </w:r>
      <w:r>
        <w:t xml:space="preserve">, −0,7 point : la population en emploi s’est nettement qualifiée. La part des diplômés du supérieur y passe de 20 % à 31 %, celle des personnes sans diplôme ou titulaires du seul BEPC de 22 % à 13 %, celle des ouvriers de 26 % à 20 %. Le diplôme contribue pour −0,6 point, l’âge pour −0,4, la catégorie socioprofessionnelle pour −0,3. Ce seul déplacement explique </w:t>
      </w:r>
      <w:r>
        <w:rPr>
          <w:b/>
          <w:bCs/>
        </w:rPr>
        <w:t>40 % du recul de la pauvreté laborieuse à pouvoir d’achat constant</w:t>
      </w:r>
      <w:r>
        <w:t xml:space="preserve"> (−0,7 point sur −1,7) : une part importante de ce recul ne tient pas à une amélioration de la situation des travailleurs, mais au fait que la population en emploi n’est plus la même.</w:t>
      </w:r>
    </w:p>
    <w:p w14:paraId="2DF3E66C" w14:textId="77777777" w:rsidR="0062329C" w:rsidRDefault="00000000">
      <w:pPr>
        <w:pStyle w:val="Corpsdetexte"/>
      </w:pPr>
      <w:r>
        <w:t>L’effet de coefficients, lui, dépend du seuil retenu — et c’est là tout l’enjeu. À pouvoir d’achat constant il vaut −1,0 point : à diplôme, profession, configuration familiale et statut d’occupation identiques, un travailleur est moins souvent pauvre qu’une décennie plus tôt. Rapporté à la médiane courante, il vaut +1,0 point : le même profil a perdu du terrain. Les deux chiffres ne se contredisent pas, ils décrivent une course. Le revenu d’un profil donné a bien progressé, mais moins vite que la médiane — tirée, on l’a vu, par les pensions et les revenus du patrimoine. Au seuil relatif, cet éloignement a plus qu’absorbé les gains de qualification : sans eux, la pauvreté laborieuse relative aurait augmenté d’environ un point au lieu de 0,3.</w:t>
      </w:r>
    </w:p>
    <w:p w14:paraId="00DB87DE" w14:textId="77777777" w:rsidR="0062329C" w:rsidRDefault="00000000">
      <w:pPr>
        <w:pStyle w:val="Corpsdetexte"/>
      </w:pPr>
      <w:r>
        <w:t>Ce résultat dépend du contrôle par la qualification, et c’est en soi instructif : sans le diplôme ni la profession dans le modèle, l’effet de composition apparaît positif (+0,3 point au seuil relatif) et l’effet de coefficients nul. La montée en qualification, alors invisible, est attribuée à tort à un déplacement vers des configurations familiales plus exposées ; une fois le diplôme contrôlé, la contribution de la configuration du ménage à l’effet de composition tombe à +0,1 point.</w:t>
      </w:r>
    </w:p>
    <w:p w14:paraId="00F80B55" w14:textId="77777777" w:rsidR="0062329C" w:rsidRDefault="00000000">
      <w:pPr>
        <w:pStyle w:val="Corpsdetexte"/>
      </w:pPr>
      <w:r>
        <w:t xml:space="preserve">La progression de l’emploi des familles monoparentales — leur taux d’emploi passe de 69 % en 2010-2012 à 76 % en 2022-2024 — s’est d’ailleurs appuyée sur le complément de revenu : parmi celles dont la personne de référence travaille, la part percevant la prime d’activité passe de 37 % en 2016-2018 à 49 % en 2022-2024, pour un montant moyen de 2 150 € par an. Elle ne s’est pas faite au prix d’un recours </w:t>
      </w:r>
      <w:r>
        <w:lastRenderedPageBreak/>
        <w:t>accru au temps partiel, stable autour de 24 % ; dans l’ensemble de l’emploi des 18-64 ans, la part du temps partiel recule même, de 18,0 % en 2017 à 16,6 % en 2024.</w:t>
      </w:r>
    </w:p>
    <w:p w14:paraId="46D77623" w14:textId="77777777" w:rsidR="0062329C" w:rsidRDefault="00000000">
      <w:pPr>
        <w:pStyle w:val="Titre2"/>
      </w:pPr>
      <w:bookmarkStart w:id="4" w:name="Xde2994162a5318ff28f28afef7a7673395731e8"/>
      <w:bookmarkEnd w:id="3"/>
      <w:r>
        <w:t>Un écart générationnel qui ne se résorbe pas</w:t>
      </w:r>
    </w:p>
    <w:p w14:paraId="52DBF786" w14:textId="77777777" w:rsidR="0062329C" w:rsidRDefault="00000000">
      <w:pPr>
        <w:pStyle w:val="FirstParagraph"/>
      </w:pPr>
      <w:r>
        <w:t>La décomposition compare deux photographies ; elle ne dit pas si l’exposition croissante de certaines configurations reflète un choc commun à toutes les générations ou une dynamique qui s’accumule de l’une à l’autre. Pour trancher, on compare à âge comparable des cohortes de naissance différentes — l’ERFS n’étant pas un panel, « suivre » une cohorte revient à retenir, dans chaque millésime, ses membres présents à un âge donné. On se limite à une fenêtre étroite, 27-31 ans, et aux seules cohortes observées à tous ces âges (nées de 1975 à 1994).</w:t>
      </w:r>
    </w:p>
    <w:p w14:paraId="5BB3BE92" w14:textId="77777777" w:rsidR="0062329C" w:rsidRDefault="00000000">
      <w:pPr>
        <w:pStyle w:val="Corpsdetexte"/>
      </w:pPr>
      <w:r>
        <w:t>À âge égal, la pauvreté laborieuse ne décline pas de génération en génération : elle marque une marche unique (</w:t>
      </w:r>
      <w:r>
        <w:rPr>
          <w:b/>
          <w:bCs/>
        </w:rPr>
        <w:t>figure 7</w:t>
      </w:r>
      <w:r>
        <w:t>). Les cohortes nées à partir du début des années 1980 — entrées sur le marché du travail au milieu des années 2000, autour de la crise de 2008 — affichent à 27-31 ans un taux supérieur d’environ un point à celui de la cohorte née à la fin des années 1970 (8,0 % contre 6,8 %), et les cohortes suivantes n’y reviennent pas. Cet écart, imputable aux conditions d’entrée sur le marché du travail dans les années 2000, se retrouve dans le profil par âge : entre 2005-2009 et 2020-2024, la hausse de la pauvreté laborieuse se concentre sur les 35-49 ans — ces mêmes cohortes, dont la position ne s’est pas redressée avec l’âge alors même que leur taux d’emploi progressait.</w:t>
      </w:r>
    </w:p>
    <w:p w14:paraId="19A2E0A6" w14:textId="77777777" w:rsidR="0062329C" w:rsidRDefault="00000000">
      <w:pPr>
        <w:pStyle w:val="Corpsdetexte"/>
      </w:pPr>
      <w:r>
        <w:rPr>
          <w:i/>
          <w:iCs/>
        </w:rPr>
        <w:t>[Figure 7 — Taux de pauvreté laborieuse à 27-31 ans selon la cohorte de naissance. Données, unité et habillage : fichier tableur, onglet « Figure 7 ».]</w:t>
      </w:r>
    </w:p>
    <w:p w14:paraId="18911294" w14:textId="77777777" w:rsidR="0062329C" w:rsidRDefault="00000000">
      <w:pPr>
        <w:pStyle w:val="Titre2"/>
      </w:pPr>
      <w:bookmarkStart w:id="5" w:name="un-filet-social-qui-a-cessé-damortir"/>
      <w:bookmarkEnd w:id="4"/>
      <w:r>
        <w:t>Un filet social qui a cessé d’amortir</w:t>
      </w:r>
    </w:p>
    <w:p w14:paraId="10827C2E" w14:textId="77777777" w:rsidR="0062329C" w:rsidRDefault="00000000">
      <w:pPr>
        <w:pStyle w:val="FirstParagraph"/>
      </w:pPr>
      <w:r>
        <w:t xml:space="preserve">Ce qui, jusqu’à la fin des années 2010, convertissait la hausse de l’emploi en recul de la pauvreté, c’est la redistribution ciblée sur les bas revenus d’activité. Trois dispositifs s’y sont succédé sans recouvrement — Prime pour l’emploi (2005-2015), RSA activité (2009-2015), puis prime d’activité (depuis 2016), plus ciblée et nettement plus généreuse après sa revalorisation de 2019. En retirant cette enveloppe du niveau de vie de chaque ménage, on mesure les points de pauvreté laborieuse qu’elle amortit : cet effet a plus que doublé, d’environ 0,9 point en 2010 à </w:t>
      </w:r>
      <w:r>
        <w:lastRenderedPageBreak/>
        <w:t>2,0 points en 2019 (</w:t>
      </w:r>
      <w:r>
        <w:rPr>
          <w:b/>
          <w:bCs/>
        </w:rPr>
        <w:t>figure 8</w:t>
      </w:r>
      <w:r>
        <w:t>). C’est la contrepartie directe de l’effet de coefficients de la décomposition Oaxaca.</w:t>
      </w:r>
    </w:p>
    <w:p w14:paraId="78E29DF7" w14:textId="77777777" w:rsidR="0062329C" w:rsidRDefault="00000000">
      <w:pPr>
        <w:pStyle w:val="Corpsdetexte"/>
      </w:pPr>
      <w:r>
        <w:rPr>
          <w:i/>
          <w:iCs/>
        </w:rPr>
        <w:t>[Figure 8 — Effet amortisseur de l’enveloppe de soutien aux bas revenus d’activité, 2005-2024. Données, unité et habillage : fichier tableur, onglet « Figure 8 ».]</w:t>
      </w:r>
    </w:p>
    <w:p w14:paraId="28D301D8" w14:textId="77777777" w:rsidR="0062329C" w:rsidRDefault="00000000">
      <w:pPr>
        <w:pStyle w:val="Corpsdetexte"/>
      </w:pPr>
      <w:r>
        <w:t>Cet effet a toutefois cessé de progresser après 2019, puis reflué : 1,7 point en 2024. Une lecture plus large — l’ensemble de la redistribution, mesuré au seuil ancré — confirme le retournement. En comparant deux périodes de deux ans qui encadrent la bascule, 2011-2012 et 2023-2024, sur le champ de la pauvreté laborieuse (le niveau de vie « avant redistribution » ne retenant que les revenus primaires — activité, patrimoine, retraites —, avant impôts directs et transferts) :</w:t>
      </w:r>
    </w:p>
    <w:tbl>
      <w:tblPr>
        <w:tblStyle w:val="Table"/>
        <w:tblW w:w="0" w:type="auto"/>
        <w:tblLook w:val="0020" w:firstRow="1" w:lastRow="0" w:firstColumn="0" w:lastColumn="0" w:noHBand="0" w:noVBand="0"/>
      </w:tblPr>
      <w:tblGrid>
        <w:gridCol w:w="4378"/>
        <w:gridCol w:w="1364"/>
        <w:gridCol w:w="1364"/>
      </w:tblGrid>
      <w:tr w:rsidR="0062329C" w14:paraId="0A85D46A" w14:textId="77777777" w:rsidTr="0062329C">
        <w:trPr>
          <w:cnfStyle w:val="100000000000" w:firstRow="1" w:lastRow="0" w:firstColumn="0" w:lastColumn="0" w:oddVBand="0" w:evenVBand="0" w:oddHBand="0" w:evenHBand="0" w:firstRowFirstColumn="0" w:firstRowLastColumn="0" w:lastRowFirstColumn="0" w:lastRowLastColumn="0"/>
          <w:tblHeader/>
        </w:trPr>
        <w:tc>
          <w:tcPr>
            <w:tcW w:w="0" w:type="auto"/>
          </w:tcPr>
          <w:p w14:paraId="41FA91B6" w14:textId="77777777" w:rsidR="0062329C" w:rsidRDefault="00000000">
            <w:pPr>
              <w:pStyle w:val="Compact"/>
            </w:pPr>
            <w:r>
              <w:t>Travailleurs pauvres au seuil ancré (%)</w:t>
            </w:r>
          </w:p>
        </w:tc>
        <w:tc>
          <w:tcPr>
            <w:tcW w:w="0" w:type="auto"/>
          </w:tcPr>
          <w:p w14:paraId="44B4CF94" w14:textId="77777777" w:rsidR="0062329C" w:rsidRDefault="00000000">
            <w:pPr>
              <w:pStyle w:val="Compact"/>
              <w:jc w:val="right"/>
            </w:pPr>
            <w:r>
              <w:t>2011-2012</w:t>
            </w:r>
          </w:p>
        </w:tc>
        <w:tc>
          <w:tcPr>
            <w:tcW w:w="0" w:type="auto"/>
          </w:tcPr>
          <w:p w14:paraId="678C4026" w14:textId="77777777" w:rsidR="0062329C" w:rsidRDefault="00000000">
            <w:pPr>
              <w:pStyle w:val="Compact"/>
              <w:jc w:val="right"/>
            </w:pPr>
            <w:r>
              <w:t>2023-2024</w:t>
            </w:r>
          </w:p>
        </w:tc>
      </w:tr>
      <w:tr w:rsidR="0062329C" w14:paraId="532161A7" w14:textId="77777777">
        <w:tc>
          <w:tcPr>
            <w:tcW w:w="0" w:type="auto"/>
          </w:tcPr>
          <w:p w14:paraId="4B329B7B" w14:textId="77777777" w:rsidR="0062329C" w:rsidRDefault="00000000">
            <w:pPr>
              <w:pStyle w:val="Compact"/>
            </w:pPr>
            <w:r>
              <w:t>Avant redistribution</w:t>
            </w:r>
          </w:p>
        </w:tc>
        <w:tc>
          <w:tcPr>
            <w:tcW w:w="0" w:type="auto"/>
          </w:tcPr>
          <w:p w14:paraId="6F83A7A1" w14:textId="77777777" w:rsidR="0062329C" w:rsidRDefault="00000000">
            <w:pPr>
              <w:pStyle w:val="Compact"/>
              <w:jc w:val="right"/>
            </w:pPr>
            <w:r>
              <w:t>14,4</w:t>
            </w:r>
          </w:p>
        </w:tc>
        <w:tc>
          <w:tcPr>
            <w:tcW w:w="0" w:type="auto"/>
          </w:tcPr>
          <w:p w14:paraId="28C2C58C" w14:textId="77777777" w:rsidR="0062329C" w:rsidRDefault="00000000">
            <w:pPr>
              <w:pStyle w:val="Compact"/>
              <w:jc w:val="right"/>
            </w:pPr>
            <w:r>
              <w:t>11,4</w:t>
            </w:r>
          </w:p>
        </w:tc>
      </w:tr>
      <w:tr w:rsidR="0062329C" w14:paraId="6075ECE8" w14:textId="77777777">
        <w:tc>
          <w:tcPr>
            <w:tcW w:w="0" w:type="auto"/>
          </w:tcPr>
          <w:p w14:paraId="42AC1CAF" w14:textId="77777777" w:rsidR="0062329C" w:rsidRDefault="00000000">
            <w:pPr>
              <w:pStyle w:val="Compact"/>
            </w:pPr>
            <w:r>
              <w:t>Après redistribution</w:t>
            </w:r>
          </w:p>
        </w:tc>
        <w:tc>
          <w:tcPr>
            <w:tcW w:w="0" w:type="auto"/>
          </w:tcPr>
          <w:p w14:paraId="5FD53752" w14:textId="77777777" w:rsidR="0062329C" w:rsidRDefault="00000000">
            <w:pPr>
              <w:pStyle w:val="Compact"/>
              <w:jc w:val="right"/>
            </w:pPr>
            <w:r>
              <w:t>8,4</w:t>
            </w:r>
          </w:p>
        </w:tc>
        <w:tc>
          <w:tcPr>
            <w:tcW w:w="0" w:type="auto"/>
          </w:tcPr>
          <w:p w14:paraId="11B82526" w14:textId="77777777" w:rsidR="0062329C" w:rsidRDefault="00000000">
            <w:pPr>
              <w:pStyle w:val="Compact"/>
              <w:jc w:val="right"/>
            </w:pPr>
            <w:r>
              <w:t>6,4</w:t>
            </w:r>
          </w:p>
        </w:tc>
      </w:tr>
      <w:tr w:rsidR="0062329C" w14:paraId="487D48EA" w14:textId="77777777">
        <w:tc>
          <w:tcPr>
            <w:tcW w:w="0" w:type="auto"/>
          </w:tcPr>
          <w:p w14:paraId="270E72C6" w14:textId="77777777" w:rsidR="0062329C" w:rsidRDefault="00000000">
            <w:pPr>
              <w:pStyle w:val="Compact"/>
            </w:pPr>
            <w:r>
              <w:t>Effet de la redistribution (points)</w:t>
            </w:r>
          </w:p>
        </w:tc>
        <w:tc>
          <w:tcPr>
            <w:tcW w:w="0" w:type="auto"/>
          </w:tcPr>
          <w:p w14:paraId="7055DE62" w14:textId="77777777" w:rsidR="0062329C" w:rsidRDefault="00000000">
            <w:pPr>
              <w:pStyle w:val="Compact"/>
              <w:jc w:val="right"/>
            </w:pPr>
            <w:r>
              <w:t>6,0</w:t>
            </w:r>
          </w:p>
        </w:tc>
        <w:tc>
          <w:tcPr>
            <w:tcW w:w="0" w:type="auto"/>
          </w:tcPr>
          <w:p w14:paraId="2941483E" w14:textId="77777777" w:rsidR="0062329C" w:rsidRDefault="00000000">
            <w:pPr>
              <w:pStyle w:val="Compact"/>
              <w:jc w:val="right"/>
            </w:pPr>
            <w:r>
              <w:t>5,0</w:t>
            </w:r>
          </w:p>
        </w:tc>
      </w:tr>
    </w:tbl>
    <w:p w14:paraId="09632369" w14:textId="77777777" w:rsidR="0062329C" w:rsidRDefault="00000000">
      <w:pPr>
        <w:pStyle w:val="Corpsdetexte"/>
      </w:pPr>
      <w:r>
        <w:t>Sur la décennie, la pauvreté laborieuse ancrée recule de 2,0 points — mais ce recul vient des revenus de marché, portés notamment par le Smic : avant redistribution, elle baisse de 3,0 points. L’effet amortisseur de la redistribution, lui, passe de 6,0 à 5,0 points, resté stable jusqu’en 2019 puis en reflux sur 2020-2024. C’est ce reflux qui contribue principalement à expliquer la remontée de la pauvreté laborieuse ancrée depuis son point bas de 2021, les salaires étant par ailleurs restés stables en pouvoir d’achat sur la période.</w:t>
      </w:r>
    </w:p>
    <w:p w14:paraId="3B5223EC" w14:textId="77777777" w:rsidR="0062329C" w:rsidRDefault="00000000">
      <w:pPr>
        <w:pStyle w:val="Corpsdetexte"/>
      </w:pPr>
      <w:r>
        <w:t>Ce décrochage tient au décalage entre l’inflation et la revalorisation des prestations : le seuil ancré suit l’inflation de l’année (+5,5 % en 2022, +4,6 % en 2023, +2,0 % en 2024), quand minima sociaux, prime d’activité et prestations familiales sont indexés une fois l’an sur l’inflation passée. Deux autres boucliers s’érodent de plus longue date (</w:t>
      </w:r>
      <w:r>
        <w:rPr>
          <w:b/>
          <w:bCs/>
        </w:rPr>
        <w:t>figure 9</w:t>
      </w:r>
      <w:r>
        <w:t>) : les prestations familiales, premier soutien des configurations avec enfants — jusqu’à 10 points de pauvreté amortis pour les couples monoactifs avec enfants —, dont le montant réel n’a pas progressé depuis 2005 ; et les aides au logement, dont l’effet a chuté de 3,7 à 2,4 points chez les locataires entre 2005 et 2024, sous l’effet des réformes de 2017.</w:t>
      </w:r>
    </w:p>
    <w:p w14:paraId="5938F817" w14:textId="77777777" w:rsidR="0062329C" w:rsidRDefault="00000000">
      <w:pPr>
        <w:pStyle w:val="Corpsdetexte"/>
      </w:pPr>
      <w:r>
        <w:rPr>
          <w:i/>
          <w:iCs/>
        </w:rPr>
        <w:lastRenderedPageBreak/>
        <w:t>[Figure 9 — Effet amortisseur de chaque poste de transferts par configuration de ménage, 2022-2024. Données, unité et habillage : fichier tableur, onglet « Figure 9 ».]</w:t>
      </w:r>
    </w:p>
    <w:p w14:paraId="79925EA6" w14:textId="77777777" w:rsidR="0062329C" w:rsidRDefault="00000000">
      <w:pPr>
        <w:pStyle w:val="Titre2"/>
      </w:pPr>
      <w:bookmarkStart w:id="6" w:name="Xc3ec5df6cf3ce7647a250fa64a464c6b5f66d2a"/>
      <w:bookmarkEnd w:id="5"/>
      <w:r>
        <w:t>Des instruments à différencier selon la configuration</w:t>
      </w:r>
    </w:p>
    <w:p w14:paraId="7F45ED67" w14:textId="77777777" w:rsidR="0062329C" w:rsidRDefault="00000000">
      <w:pPr>
        <w:pStyle w:val="FirstParagraph"/>
      </w:pPr>
      <w:r>
        <w:t>Le paradoxe recouvre deux questions distinctes. Si le taux de pauvreté d’ensemble ne baisse pas malgré l’essor de l’emploi, c’est d’abord parce que la position relative des personnes sans emploi s’est dégradée — l’emploi, lui, a bien joué dans le sens d’une baisse, et à pouvoir d’achat constant la pauvreté recule sur la période. Et si la pauvreté laborieuse ne recule pas au seuil relatif alors que l’emploi progressait, ce n’est pas faute d’une population en emploi mieux formée : sa qualification s’est nettement élevée, et à pouvoir d’achat constant la pauvreté laborieuse a bien reculé. Mais ce gain n’a pas suivi le rythme d’une médiane tirée par les revenus hors travail, et la redistribution ciblée sur les bas revenus d’activité a cessé d’amortir après 2019. Le travail continue donc de protéger de la pauvreté, et mieux qu’il y a vingt ans en pouvoir d’achat ; c’est son extension qui ne suffit plus à la faire reculer, et le complément apporté par la solidarité qui s’est affaibli. Un levier uniforme aurait dès lors une portée limitée : à chaque configuration correspond un instrument — revalorisation des prestations familiales pour les familles avec enfants, de la prime d’activité et des aides au logement pour les ménages à un seul revenu, indexation plus réactive à l’inflation pour tous.</w:t>
      </w:r>
    </w:p>
    <w:p w14:paraId="38B18639" w14:textId="77777777" w:rsidR="0062329C" w:rsidRDefault="00000000">
      <w:pPr>
        <w:pStyle w:val="Corpsdetexte"/>
      </w:pPr>
      <w:r>
        <w:t>Ces résultats appellent trois réserves. La pauvreté est mesurée au niveau du ménage et ignore le patrimoine, ce qui masque des situations contrastées, entre conjoints comme entre propriétaires et locataires. L’analyse par cohorte repose sur des coupes transversales répétées, non sur le suivi des mêmes personnes. Enfin, décomposition Oaxaca, effet de cohorte et effet amortisseur des transferts relèvent de la comptabilité statistique : ils décrivent des mécanismes plausibles, sans identification causale stricte.</w:t>
      </w:r>
    </w:p>
    <w:p w14:paraId="0D7711A6" w14:textId="77777777" w:rsidR="0062329C" w:rsidRDefault="00000000">
      <w:pPr>
        <w:pStyle w:val="Corpsdetexte"/>
      </w:pPr>
      <w:r>
        <w:rPr>
          <w:b/>
          <w:bCs/>
        </w:rPr>
        <w:t>Encadré 1 — Un risque de genre que la mesure au niveau du ménage ne voit pas</w:t>
      </w:r>
    </w:p>
    <w:p w14:paraId="2BECD816" w14:textId="77777777" w:rsidR="0062329C" w:rsidRDefault="00000000">
      <w:pPr>
        <w:pStyle w:val="Corpsdetexte"/>
      </w:pPr>
      <w:r>
        <w:t>Mesurée au niveau du ménage, la pauvreté laborieuse n’apparaît pas comme un phénomène de genre : le taux individuel des femmes en emploi (7,9 % en 2022-</w:t>
      </w:r>
      <w:r>
        <w:lastRenderedPageBreak/>
        <w:t>2024) est même légèrement inférieur à celui des hommes (8,4 %), et les femmes représentent 47 % des travailleurs pauvres, un peu moins que leur part dans l’emploi (49 %).</w:t>
      </w:r>
    </w:p>
    <w:p w14:paraId="382A821C" w14:textId="77777777" w:rsidR="0062329C" w:rsidRDefault="00000000">
      <w:pPr>
        <w:pStyle w:val="Corpsdetexte"/>
      </w:pPr>
      <w:r>
        <w:t>Ce résultat masque des situations d’emploi très inégales. Parmi les personnes en emploi, 26 % des femmes travaillent à temps partiel contre 7 % des hommes — un écart stable sur toute la période —, 6 % sont en sous-emploi contre 3 %, et leur salaire net annuel médian est inférieur d’environ un sixième (23 300 € contre 27 800 €).</w:t>
      </w:r>
    </w:p>
    <w:p w14:paraId="51CE35E7" w14:textId="77777777" w:rsidR="0062329C" w:rsidRDefault="00000000">
      <w:pPr>
        <w:pStyle w:val="Corpsdetexte"/>
      </w:pPr>
      <w:r>
        <w:t>Les deux constats se concilient parce que la pauvreté se mesure sur le niveau de vie du ménage : dans un couple, un faible revenu d’activité féminin est compensé par celui du conjoint et ne fait pas basculer le ménage sous le seuil. La difficulté ne devient visible qu’en l’absence de second revenu — les femmes forment 78 % des familles monoparentales en emploi pauvres — ou en cas de rupture. La mesure au niveau du ménage capte donc bien la pauvreté monétaire, mais sous-estime l’exposition des femmes à de faibles revenus d’activité propres et la dépendance économique qui en découle.</w:t>
      </w:r>
    </w:p>
    <w:p w14:paraId="6EF6AE90" w14:textId="77777777" w:rsidR="0062329C" w:rsidRDefault="00000000">
      <w:pPr>
        <w:pStyle w:val="Corpsdetexte"/>
      </w:pPr>
      <w:r>
        <w:rPr>
          <w:b/>
          <w:bCs/>
        </w:rPr>
        <w:t>Encadré 2 — Des données enrichies pour mesurer le temps partiel et simuler un passage à temps plein</w:t>
      </w:r>
    </w:p>
    <w:p w14:paraId="0893CDBE" w14:textId="77777777" w:rsidR="0062329C" w:rsidRDefault="00000000">
      <w:pPr>
        <w:pStyle w:val="Corpsdetexte"/>
      </w:pPr>
      <w:r>
        <w:t xml:space="preserve">L’Enquête Revenus Fiscaux et Sociaux (ERFS) apparie l’enquête Emploi, les fichiers fiscaux et les données de prestations sociales, sur la France métropolitaine, 2005-2024. Elle est ici enrichie par extraction, dans les fichiers source individus, des salaires annuels, de la quotité de temps partiel, du sous-emploi et — depuis 2021, date de la refonte du questionnaire de l’enquête Emploi — du calendrier mensuel d’activité, qui donne le nombre de mois travaillés dans l’année. L’écart au seuil de pauvreté, la profondeur de la pauvreté et les effets des transferts sont mesurés directement sur le niveau de vie du ménage observé dans l’enquête ; l’effet d’un passage à temps plein sur le niveau de vie est simulé pour un ménage type — une personne seule locataire — avec la maquette SoFi [Pucci, 2022], qui calcule RSA, prime d’activité, aides au logement et impôt sur le revenu. Pour la décomposition de Oaxaca-Blinder, le diplôme et la catégorie socioprofessionnelle ont été harmonisés entre les deux périodes à partir des fichiers sources — </w:t>
      </w:r>
      <w:r>
        <w:rPr>
          <w:rStyle w:val="VerbatimChar"/>
        </w:rPr>
        <w:t>ddipl</w:t>
      </w:r>
      <w:r>
        <w:t xml:space="preserve"> et </w:t>
      </w:r>
      <w:r>
        <w:rPr>
          <w:rStyle w:val="VerbatimChar"/>
        </w:rPr>
        <w:t>cse</w:t>
      </w:r>
      <w:r>
        <w:t xml:space="preserve"> en 2010-2012, </w:t>
      </w:r>
      <w:r>
        <w:rPr>
          <w:rStyle w:val="VerbatimChar"/>
        </w:rPr>
        <w:t>dip5</w:t>
      </w:r>
      <w:r>
        <w:t xml:space="preserve"> et </w:t>
      </w:r>
      <w:r>
        <w:rPr>
          <w:rStyle w:val="VerbatimChar"/>
        </w:rPr>
        <w:t>pcs1</w:t>
      </w:r>
      <w:r>
        <w:t xml:space="preserve"> en 2022-2024 ; la catégorie socioprofessionnelle est retenue au premier </w:t>
      </w:r>
      <w:r>
        <w:lastRenderedPageBreak/>
        <w:t>chiffre, seul niveau insensible à la révision de nomenclature de 2020. La série annuelle du diplôme ne présente pas de rupture au raccord de 2021. Sauf mention contraire, le champ est celui des personnes de référence en emploi de 18 à 64 ans.</w:t>
      </w:r>
    </w:p>
    <w:p w14:paraId="29489611" w14:textId="77777777" w:rsidR="0062329C" w:rsidRDefault="00000000">
      <w:pPr>
        <w:pStyle w:val="Titre2"/>
      </w:pPr>
      <w:bookmarkStart w:id="7" w:name="définitions"/>
      <w:bookmarkEnd w:id="6"/>
      <w:r>
        <w:t>Définitions</w:t>
      </w:r>
    </w:p>
    <w:p w14:paraId="60B1CBD0" w14:textId="77777777" w:rsidR="0062329C" w:rsidRDefault="00000000">
      <w:pPr>
        <w:pStyle w:val="FirstParagraph"/>
      </w:pPr>
      <w:r>
        <w:rPr>
          <w:b/>
          <w:bCs/>
        </w:rPr>
        <w:t>Pauvreté laborieuse</w:t>
      </w:r>
      <w:r>
        <w:t xml:space="preserve"> : situation d’une personne en emploi dont le ménage vit sous le seuil de pauvreté [Ponthieux, 2009]. Elle se mesure au niveau du ménage, quand l’emploi est individuel : un travailleur pauvre n’est pas nécessairement mal payé.</w:t>
      </w:r>
    </w:p>
    <w:p w14:paraId="1FE4C8E6" w14:textId="77777777" w:rsidR="0062329C" w:rsidRDefault="00000000">
      <w:pPr>
        <w:pStyle w:val="Corpsdetexte"/>
      </w:pPr>
      <w:r>
        <w:rPr>
          <w:b/>
          <w:bCs/>
        </w:rPr>
        <w:t>Seuil de pauvreté relatif, seuil ancré</w:t>
      </w:r>
      <w:r>
        <w:t> : le seuil relatif vaut 60 % du niveau de vie médian de l’année courante. Le seuil ancré est celui d’une année de référence, ici 2005, porté par l’inflation ; il représente un pouvoir d’achat constant.</w:t>
      </w:r>
    </w:p>
    <w:p w14:paraId="26FBED55" w14:textId="77777777" w:rsidR="0062329C" w:rsidRDefault="00000000">
      <w:pPr>
        <w:pStyle w:val="Corpsdetexte"/>
      </w:pPr>
      <w:r>
        <w:rPr>
          <w:b/>
          <w:bCs/>
        </w:rPr>
        <w:t>Niveau de vie avant redistribution</w:t>
      </w:r>
      <w:r>
        <w:t xml:space="preserve"> : niveau de vie du ménage fondé sur les seuls revenus primaires — activité, patrimoine, retraites —, avant impôts directs et avant transferts.</w:t>
      </w:r>
    </w:p>
    <w:p w14:paraId="29CC9E30" w14:textId="77777777" w:rsidR="0062329C" w:rsidRDefault="00000000">
      <w:pPr>
        <w:pStyle w:val="Corpsdetexte"/>
      </w:pPr>
      <w:r>
        <w:rPr>
          <w:b/>
          <w:bCs/>
        </w:rPr>
        <w:t>Décomposition de Oaxaca-Blinder</w:t>
      </w:r>
      <w:r>
        <w:t xml:space="preserve"> : méthode qui partage l’écart de taux de pauvreté entre deux périodes en un effet de composition (le profil de la population a changé) et un effet de coefficients (à profil donné, le lien entre profil et pauvreté a changé).</w:t>
      </w:r>
    </w:p>
    <w:p w14:paraId="29DD55C8" w14:textId="77777777" w:rsidR="0062329C" w:rsidRDefault="00000000">
      <w:pPr>
        <w:pStyle w:val="Corpsdetexte"/>
      </w:pPr>
      <w:r>
        <w:rPr>
          <w:b/>
          <w:bCs/>
        </w:rPr>
        <w:t>Smic</w:t>
      </w:r>
      <w:r>
        <w:t> : salaire minimum interprofessionnel de croissance, salaire horaire plancher fixé par la loi.</w:t>
      </w:r>
    </w:p>
    <w:p w14:paraId="2B3091EE" w14:textId="77777777" w:rsidR="0062329C" w:rsidRDefault="00000000">
      <w:pPr>
        <w:pStyle w:val="Corpsdetexte"/>
      </w:pPr>
      <w:r>
        <w:rPr>
          <w:b/>
          <w:bCs/>
        </w:rPr>
        <w:t>RSA (revenu de solidarité active)</w:t>
      </w:r>
      <w:r>
        <w:t xml:space="preserve"> : minimum social qui complète les ressources d’un foyer jusqu’à un montant garanti.</w:t>
      </w:r>
    </w:p>
    <w:p w14:paraId="015B1AC0" w14:textId="77777777" w:rsidR="0062329C" w:rsidRDefault="00000000">
      <w:pPr>
        <w:pStyle w:val="Corpsdetexte"/>
      </w:pPr>
      <w:r>
        <w:rPr>
          <w:b/>
          <w:bCs/>
        </w:rPr>
        <w:t>Prime d’activité</w:t>
      </w:r>
      <w:r>
        <w:t xml:space="preserve"> : complément de revenu pour les travailleurs modestes, qui décroît avec les ressources du foyer.</w:t>
      </w:r>
    </w:p>
    <w:p w14:paraId="1F1DEF93" w14:textId="77777777" w:rsidR="0062329C" w:rsidRDefault="00000000">
      <w:pPr>
        <w:pStyle w:val="Corpsdetexte"/>
      </w:pPr>
      <w:r>
        <w:rPr>
          <w:b/>
          <w:bCs/>
        </w:rPr>
        <w:t>APL (aide personnalisée au logement)</w:t>
      </w:r>
      <w:r>
        <w:t xml:space="preserve"> : aide au logement sous condition de ressources et de loyer, décroissante avec le revenu.</w:t>
      </w:r>
    </w:p>
    <w:p w14:paraId="5A7C9A3E" w14:textId="77777777" w:rsidR="0062329C" w:rsidRDefault="00000000">
      <w:pPr>
        <w:pStyle w:val="Titre2"/>
      </w:pPr>
      <w:bookmarkStart w:id="8" w:name="pour-en-savoir-plus"/>
      <w:bookmarkEnd w:id="7"/>
      <w:r>
        <w:t>Pour en savoir plus</w:t>
      </w:r>
    </w:p>
    <w:p w14:paraId="79361892" w14:textId="77777777" w:rsidR="0062329C" w:rsidRDefault="00000000">
      <w:pPr>
        <w:pStyle w:val="FirstParagraph"/>
      </w:pPr>
      <w:r>
        <w:t xml:space="preserve">DARES, « </w:t>
      </w:r>
      <w:hyperlink r:id="rId5">
        <w:r>
          <w:rPr>
            <w:rStyle w:val="Lienhypertexte"/>
          </w:rPr>
          <w:t>Les travailleurs pauvres en France</w:t>
        </w:r>
      </w:hyperlink>
      <w:r>
        <w:t xml:space="preserve"> », </w:t>
      </w:r>
      <w:r>
        <w:rPr>
          <w:i/>
          <w:iCs/>
        </w:rPr>
        <w:t>DARES Analyses</w:t>
      </w:r>
      <w:r>
        <w:t>, 2022.</w:t>
      </w:r>
    </w:p>
    <w:p w14:paraId="2B598BAE" w14:textId="77777777" w:rsidR="0062329C" w:rsidRDefault="00000000">
      <w:pPr>
        <w:pStyle w:val="Corpsdetexte"/>
      </w:pPr>
      <w:r>
        <w:t xml:space="preserve">DREES, « </w:t>
      </w:r>
      <w:hyperlink r:id="rId6">
        <w:r>
          <w:rPr>
            <w:rStyle w:val="Lienhypertexte"/>
          </w:rPr>
          <w:t>Minima sociaux et prestations sociales</w:t>
        </w:r>
      </w:hyperlink>
      <w:r>
        <w:t xml:space="preserve"> », </w:t>
      </w:r>
      <w:r>
        <w:rPr>
          <w:i/>
          <w:iCs/>
        </w:rPr>
        <w:t>Panoramas de la DREES</w:t>
      </w:r>
      <w:r>
        <w:t>, 2019.</w:t>
      </w:r>
    </w:p>
    <w:p w14:paraId="2550689B" w14:textId="77777777" w:rsidR="0062329C" w:rsidRDefault="00000000">
      <w:pPr>
        <w:pStyle w:val="Corpsdetexte"/>
      </w:pPr>
      <w:r>
        <w:lastRenderedPageBreak/>
        <w:t xml:space="preserve">Insee, « </w:t>
      </w:r>
      <w:hyperlink r:id="rId7">
        <w:r>
          <w:rPr>
            <w:rStyle w:val="Lienhypertexte"/>
          </w:rPr>
          <w:t>France, portrait social</w:t>
        </w:r>
      </w:hyperlink>
      <w:r>
        <w:t xml:space="preserve"> », </w:t>
      </w:r>
      <w:r>
        <w:rPr>
          <w:i/>
          <w:iCs/>
        </w:rPr>
        <w:t>Insee Références</w:t>
      </w:r>
      <w:r>
        <w:t>, édition 2024.</w:t>
      </w:r>
    </w:p>
    <w:p w14:paraId="18C9C659" w14:textId="77777777" w:rsidR="0062329C" w:rsidRDefault="00000000">
      <w:pPr>
        <w:pStyle w:val="Corpsdetexte"/>
      </w:pPr>
      <w:r>
        <w:t xml:space="preserve">Madec P., « </w:t>
      </w:r>
      <w:hyperlink r:id="rId8">
        <w:r>
          <w:rPr>
            <w:rStyle w:val="Lienhypertexte"/>
          </w:rPr>
          <w:t>Pauvreté monétaire en France : une dynamique préoccupante</w:t>
        </w:r>
      </w:hyperlink>
      <w:r>
        <w:t xml:space="preserve"> », Document de travail, OFCE, 2025.</w:t>
      </w:r>
    </w:p>
    <w:p w14:paraId="0FCAF51D" w14:textId="77777777" w:rsidR="0062329C" w:rsidRDefault="00000000">
      <w:pPr>
        <w:pStyle w:val="Corpsdetexte"/>
      </w:pPr>
      <w:r>
        <w:t xml:space="preserve">Ponthieux S., « </w:t>
      </w:r>
      <w:hyperlink r:id="rId9">
        <w:r>
          <w:rPr>
            <w:rStyle w:val="Lienhypertexte"/>
          </w:rPr>
          <w:t>Les travailleurs pauvres comme catégorie statistique</w:t>
        </w:r>
      </w:hyperlink>
      <w:r>
        <w:t xml:space="preserve"> », Document de travail, Insee, 2009.</w:t>
      </w:r>
    </w:p>
    <w:p w14:paraId="782A1686" w14:textId="77777777" w:rsidR="0062329C" w:rsidRDefault="00000000">
      <w:pPr>
        <w:pStyle w:val="Corpsdetexte"/>
      </w:pPr>
      <w:r>
        <w:t xml:space="preserve">Pucci M., « </w:t>
      </w:r>
      <w:hyperlink r:id="rId10">
        <w:r>
          <w:rPr>
            <w:rStyle w:val="Lienhypertexte"/>
          </w:rPr>
          <w:t>SoFi, une maquette de simulation des transferts sociaux et fiscaux</w:t>
        </w:r>
      </w:hyperlink>
      <w:r>
        <w:t xml:space="preserve"> », Document de travail, 2022.</w:t>
      </w:r>
      <w:bookmarkEnd w:id="8"/>
    </w:p>
    <w:sectPr w:rsidR="0062329C">
      <w:footnotePr>
        <w:numRestart w:val="eachSect"/>
      </w:footnotePr>
      <w:pgSz w:w="11906" w:h="16838"/>
      <w:pgMar w:top="1418" w:right="1418" w:bottom="1418" w:left="1418"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AAE02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815463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2329C"/>
    <w:rsid w:val="0062329C"/>
    <w:rsid w:val="00D02E56"/>
    <w:rsid w:val="00D12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6CE4F6"/>
  <w15:docId w15:val="{8D1A9BD0-A25A-184E-94E8-E2BBAC736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imes New Roman" w:hAnsi="Arial" w:cs="Arial"/>
        <w:sz w:val="24"/>
        <w:szCs w:val="24"/>
        <w:lang w:val="fr" w:eastAsia="zh-CN" w:bidi="ar-SA"/>
      </w:rPr>
    </w:rPrDefault>
    <w:pPrDefault>
      <w:pPr>
        <w:spacing w:after="120" w:line="360"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line="240" w:lineRule="auto"/>
      <w:contextualSpacing/>
      <w:jc w:val="center"/>
    </w:pPr>
    <w:rPr>
      <w:sz w:val="56"/>
      <w:szCs w:val="56"/>
    </w:rPr>
  </w:style>
  <w:style w:type="character" w:customStyle="1" w:styleId="TitreCar">
    <w:name w:val="Titre Car"/>
    <w:basedOn w:val="Policepardfaut"/>
    <w:link w:val="Titre"/>
    <w:uiPriority w:val="10"/>
    <w:rsid w:val="00A10FD9"/>
    <w:rPr>
      <w:rFonts w:ascii="Arial" w:hAnsi="Arial" w:cs="Arial"/>
      <w:sz w:val="56"/>
      <w:szCs w:val="56"/>
    </w:rPr>
  </w:style>
  <w:style w:type="paragraph" w:styleId="Sous-titre">
    <w:name w:val="Subtitle"/>
    <w:basedOn w:val="Titre"/>
    <w:next w:val="Corpsdetexte"/>
    <w:link w:val="Sous-titreCar"/>
    <w:uiPriority w:val="11"/>
    <w:qFormat/>
    <w:rsid w:val="00A10FD9"/>
    <w:pPr>
      <w:numPr>
        <w:ilvl w:val="1"/>
      </w:numPr>
    </w:pPr>
    <w:rPr>
      <w:rFonts w:eastAsiaTheme="majorEastAsia" w:cstheme="majorBidi"/>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Arial" w:hAnsi="Arial" w:cs="Arial"/>
      <w:color w:val="0F4761" w:themeColor="accent1" w:themeShade="BF"/>
      <w:sz w:val="40"/>
      <w:szCs w:val="40"/>
    </w:rPr>
  </w:style>
  <w:style w:type="character" w:customStyle="1" w:styleId="Titre2Car">
    <w:name w:val="Titre 2 Car"/>
    <w:basedOn w:val="Policepardfaut"/>
    <w:link w:val="Titre2"/>
    <w:uiPriority w:val="9"/>
    <w:semiHidden/>
    <w:rsid w:val="00A10FD9"/>
    <w:rPr>
      <w:rFonts w:ascii="Arial" w:hAnsi="Arial" w:cs="Arial"/>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fce.fr" TargetMode="External"/><Relationship Id="rId3" Type="http://schemas.openxmlformats.org/officeDocument/2006/relationships/settings" Target="settings.xml"/><Relationship Id="rId7" Type="http://schemas.openxmlformats.org/officeDocument/2006/relationships/hyperlink" Target="https://www.insee.f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ees.solidarites-sante.gouv.fr" TargetMode="External"/><Relationship Id="rId11" Type="http://schemas.openxmlformats.org/officeDocument/2006/relationships/fontTable" Target="fontTable.xml"/><Relationship Id="rId5" Type="http://schemas.openxmlformats.org/officeDocument/2006/relationships/hyperlink" Target="https://dares.travail-emploi.gouv.fr" TargetMode="External"/><Relationship Id="rId10" Type="http://schemas.openxmlformats.org/officeDocument/2006/relationships/hyperlink" Target="https://github.com/murielpucci/SOFI" TargetMode="External"/><Relationship Id="rId4" Type="http://schemas.openxmlformats.org/officeDocument/2006/relationships/webSettings" Target="webSettings.xml"/><Relationship Id="rId9" Type="http://schemas.openxmlformats.org/officeDocument/2006/relationships/hyperlink" Target="https://www.insee.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4383</Words>
  <Characters>21170</Characters>
  <Application>Microsoft Office Word</Application>
  <DocSecurity>0</DocSecurity>
  <Lines>705</Lines>
  <Paragraphs>319</Paragraphs>
  <ScaleCrop>false</ScaleCrop>
  <Company/>
  <LinksUpToDate>false</LinksUpToDate>
  <CharactersWithSpaces>25234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Emploi en hausse, pauvreté qui ne recule plus : le travail protège-t-il encore ?</dc:title>
  <dc:creator/>
  <cp:keywords/>
  <cp:lastModifiedBy>Pierre MADEC</cp:lastModifiedBy>
  <cp:revision>2</cp:revision>
  <dcterms:created xsi:type="dcterms:W3CDTF">2026-09-09T17:21:00Z</dcterms:created>
  <dcterms:modified xsi:type="dcterms:W3CDTF">2026-09-09T18:43:00Z</dcterms:modified>
  <dc:language>fr</dc:language>
</cp:coreProperties>
</file>