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743D" w14:textId="77777777" w:rsidR="00D5152D" w:rsidRDefault="00000000">
      <w:pPr>
        <w:pStyle w:val="Standard"/>
        <w:pBdr>
          <w:top w:val="single" w:sz="2" w:space="6" w:color="000000"/>
          <w:left w:val="single" w:sz="2" w:space="0" w:color="000000"/>
          <w:bottom w:val="single" w:sz="2" w:space="6" w:color="000000"/>
          <w:right w:val="single" w:sz="2" w:space="0" w:color="000000"/>
        </w:pBdr>
        <w:jc w:val="center"/>
        <w:rPr>
          <w:rFonts w:ascii="Calibri" w:hAnsi="Calibri" w:cs="Calibri"/>
          <w:b/>
          <w:bCs/>
          <w:color w:val="000000"/>
          <w:sz w:val="32"/>
          <w:szCs w:val="32"/>
        </w:rPr>
      </w:pPr>
      <w:r>
        <w:rPr>
          <w:rFonts w:ascii="Calibri" w:hAnsi="Calibri" w:cs="Calibri"/>
          <w:b/>
          <w:bCs/>
          <w:color w:val="000000"/>
          <w:sz w:val="32"/>
          <w:szCs w:val="32"/>
        </w:rPr>
        <w:t>Insee Références « Revenus des ménages » 2027</w:t>
      </w:r>
    </w:p>
    <w:p w14:paraId="6B17102A" w14:textId="77777777" w:rsidR="00D5152D" w:rsidRDefault="00000000">
      <w:pPr>
        <w:pStyle w:val="Standard"/>
        <w:pBdr>
          <w:top w:val="single" w:sz="2" w:space="6" w:color="000000"/>
          <w:left w:val="single" w:sz="2" w:space="0" w:color="000000"/>
          <w:bottom w:val="single" w:sz="2" w:space="6" w:color="000000"/>
          <w:right w:val="single" w:sz="2" w:space="0" w:color="000000"/>
        </w:pBdr>
        <w:spacing w:before="120"/>
        <w:jc w:val="center"/>
        <w:rPr>
          <w:rFonts w:ascii="Calibri" w:hAnsi="Calibri" w:cs="Calibri"/>
          <w:color w:val="000000"/>
          <w:sz w:val="24"/>
          <w:szCs w:val="24"/>
        </w:rPr>
      </w:pPr>
      <w:r>
        <w:rPr>
          <w:rFonts w:ascii="Calibri" w:hAnsi="Calibri" w:cs="Calibri"/>
          <w:color w:val="000000"/>
          <w:sz w:val="24"/>
          <w:szCs w:val="24"/>
        </w:rPr>
        <w:t>Proposition de dossier</w:t>
      </w:r>
    </w:p>
    <w:p w14:paraId="6ED40A73" w14:textId="77777777" w:rsidR="00D5152D" w:rsidRDefault="00D5152D">
      <w:pPr>
        <w:pStyle w:val="Standard"/>
        <w:jc w:val="center"/>
        <w:rPr>
          <w:rFonts w:ascii="Calibri" w:hAnsi="Calibri" w:cs="Calibri"/>
          <w:bCs/>
          <w:color w:val="000000"/>
          <w:sz w:val="22"/>
          <w:szCs w:val="22"/>
        </w:rPr>
      </w:pPr>
    </w:p>
    <w:p w14:paraId="57A1CCE5" w14:textId="77777777" w:rsidR="00D5152D" w:rsidRDefault="00000000">
      <w:pPr>
        <w:pStyle w:val="Standard"/>
        <w:spacing w:before="60" w:after="60"/>
      </w:pPr>
      <w:r>
        <w:rPr>
          <w:rFonts w:ascii="Calibri" w:hAnsi="Calibri" w:cs="Calibri"/>
          <w:color w:val="000000"/>
        </w:rPr>
        <w:t xml:space="preserve">À transmettre à </w:t>
      </w:r>
      <w:hyperlink r:id="rId7" w:history="1">
        <w:r>
          <w:rPr>
            <w:rFonts w:ascii="Calibri" w:hAnsi="Calibri" w:cs="Calibri"/>
            <w:color w:val="000000"/>
          </w:rPr>
          <w:t>emilie.raynaud@insee.fr</w:t>
        </w:r>
      </w:hyperlink>
      <w:r>
        <w:rPr>
          <w:rFonts w:ascii="Calibri" w:hAnsi="Calibri" w:cs="Calibri"/>
          <w:color w:val="000000"/>
        </w:rPr>
        <w:t xml:space="preserve"> et </w:t>
      </w:r>
      <w:hyperlink r:id="rId8" w:history="1">
        <w:r>
          <w:rPr>
            <w:rFonts w:ascii="Calibri" w:hAnsi="Calibri" w:cs="Calibri"/>
            <w:color w:val="000000"/>
          </w:rPr>
          <w:t>benjamin.gilbert@insee.fr</w:t>
        </w:r>
      </w:hyperlink>
    </w:p>
    <w:p w14:paraId="753E556A" w14:textId="77777777" w:rsidR="00D5152D" w:rsidRDefault="00D5152D">
      <w:pPr>
        <w:pStyle w:val="Standard"/>
        <w:tabs>
          <w:tab w:val="right" w:leader="dot" w:pos="9072"/>
        </w:tabs>
        <w:rPr>
          <w:rFonts w:ascii="Calibri" w:hAnsi="Calibri" w:cs="Calibri"/>
          <w:b/>
          <w:bCs/>
          <w:color w:val="000000"/>
        </w:rPr>
      </w:pPr>
    </w:p>
    <w:p w14:paraId="735FB6BF" w14:textId="77777777" w:rsidR="00D5152D" w:rsidRDefault="00000000">
      <w:pPr>
        <w:pStyle w:val="Standard"/>
        <w:pBdr>
          <w:top w:val="single" w:sz="2" w:space="6" w:color="000000"/>
          <w:left w:val="single" w:sz="2" w:space="6" w:color="000000"/>
          <w:bottom w:val="single" w:sz="2" w:space="6" w:color="000000"/>
          <w:right w:val="single" w:sz="2" w:space="0" w:color="000000"/>
        </w:pBdr>
        <w:tabs>
          <w:tab w:val="right" w:leader="dot" w:pos="9185"/>
        </w:tabs>
        <w:ind w:left="113"/>
      </w:pPr>
      <w:r>
        <w:rPr>
          <w:rFonts w:ascii="Calibri" w:hAnsi="Calibri" w:cs="Calibri"/>
          <w:b/>
          <w:bCs/>
          <w:color w:val="000000"/>
        </w:rPr>
        <w:t>Titre indicatif</w:t>
      </w:r>
      <w:r>
        <w:rPr>
          <w:rFonts w:ascii="Calibri" w:hAnsi="Calibri" w:cs="Calibri"/>
          <w:color w:val="000000"/>
        </w:rPr>
        <w:t xml:space="preserve"> : </w:t>
      </w:r>
      <w:r w:rsidRPr="00C9280E">
        <w:rPr>
          <w:rFonts w:ascii="Calibri" w:hAnsi="Calibri" w:cs="Calibri"/>
          <w:color w:val="000000"/>
        </w:rPr>
        <w:t>L'emploi protège-t-il encore de la pauvreté ? Déterminants et mécanismes de la hausse de la pauvreté monétaire en France (2005-2023)</w:t>
      </w:r>
    </w:p>
    <w:p w14:paraId="39F2A52A" w14:textId="77777777" w:rsidR="00D5152D" w:rsidRDefault="00D5152D">
      <w:pPr>
        <w:pStyle w:val="Standard"/>
        <w:tabs>
          <w:tab w:val="right" w:leader="dot" w:pos="9072"/>
        </w:tabs>
        <w:rPr>
          <w:rFonts w:ascii="Calibri" w:hAnsi="Calibri" w:cs="Calibri"/>
          <w:color w:val="000000"/>
        </w:rPr>
      </w:pPr>
    </w:p>
    <w:p w14:paraId="2CB705C4" w14:textId="77777777" w:rsidR="00D5152D" w:rsidRDefault="00000000">
      <w:pPr>
        <w:pStyle w:val="Standard"/>
        <w:tabs>
          <w:tab w:val="right" w:leader="dot" w:pos="9072"/>
        </w:tabs>
      </w:pPr>
      <w:r>
        <w:rPr>
          <w:rFonts w:ascii="Calibri" w:hAnsi="Calibri" w:cs="Calibri"/>
          <w:b/>
          <w:bCs/>
          <w:color w:val="000000"/>
        </w:rPr>
        <w:t xml:space="preserve">Autrices et/ou auteurs </w:t>
      </w:r>
      <w:r>
        <w:rPr>
          <w:rFonts w:ascii="Calibri" w:hAnsi="Calibri" w:cs="Calibri"/>
          <w:color w:val="000000"/>
        </w:rPr>
        <w:t>(nom – organisme de rattachement) :</w:t>
      </w:r>
    </w:p>
    <w:p w14:paraId="60AC0AC6" w14:textId="77777777" w:rsidR="00C9280E" w:rsidRDefault="00C9280E" w:rsidP="00C9280E">
      <w:pPr>
        <w:pStyle w:val="Standard"/>
        <w:tabs>
          <w:tab w:val="right" w:leader="dot" w:pos="9072"/>
        </w:tabs>
        <w:jc w:val="both"/>
        <w:rPr>
          <w:rFonts w:ascii="Calibri" w:hAnsi="Calibri" w:cs="Calibri"/>
          <w:color w:val="000000"/>
        </w:rPr>
      </w:pPr>
    </w:p>
    <w:p w14:paraId="0464EAF3" w14:textId="1C90236F" w:rsidR="00D5152D" w:rsidRPr="00C9280E" w:rsidRDefault="00000000" w:rsidP="00C9280E">
      <w:pPr>
        <w:pStyle w:val="Standard"/>
        <w:tabs>
          <w:tab w:val="right" w:leader="dot" w:pos="9072"/>
        </w:tabs>
        <w:jc w:val="both"/>
        <w:rPr>
          <w:rFonts w:ascii="Calibri" w:hAnsi="Calibri" w:cs="Calibri"/>
          <w:color w:val="000000"/>
        </w:rPr>
      </w:pPr>
      <w:r w:rsidRPr="00C9280E">
        <w:rPr>
          <w:rFonts w:ascii="Calibri" w:hAnsi="Calibri" w:cs="Calibri"/>
          <w:color w:val="000000"/>
        </w:rPr>
        <w:t>Pierre Madec — OFCE, Sciences Po</w:t>
      </w:r>
    </w:p>
    <w:p w14:paraId="2E962F57" w14:textId="77777777" w:rsidR="00D5152D" w:rsidRDefault="00D5152D">
      <w:pPr>
        <w:pStyle w:val="Standard"/>
        <w:tabs>
          <w:tab w:val="right" w:leader="dot" w:pos="9072"/>
        </w:tabs>
        <w:rPr>
          <w:rFonts w:ascii="Calibri" w:hAnsi="Calibri" w:cs="Calibri"/>
          <w:bCs/>
          <w:color w:val="000000"/>
        </w:rPr>
      </w:pPr>
    </w:p>
    <w:p w14:paraId="52A2E5E2" w14:textId="77777777" w:rsidR="00D5152D" w:rsidRDefault="00000000">
      <w:pPr>
        <w:pStyle w:val="Standard"/>
        <w:tabs>
          <w:tab w:val="right" w:leader="dot" w:pos="9072"/>
        </w:tabs>
      </w:pPr>
      <w:r>
        <w:rPr>
          <w:rFonts w:ascii="Calibri" w:hAnsi="Calibri" w:cs="Calibri"/>
          <w:b/>
          <w:bCs/>
          <w:color w:val="000000"/>
        </w:rPr>
        <w:t>Principales sources statistiques mobilisées :</w:t>
      </w:r>
    </w:p>
    <w:p w14:paraId="4E5A01AB" w14:textId="77777777" w:rsidR="00D5152D" w:rsidRDefault="00D5152D">
      <w:pPr>
        <w:pStyle w:val="Standard"/>
        <w:tabs>
          <w:tab w:val="right" w:leader="dot" w:pos="9072"/>
        </w:tabs>
        <w:rPr>
          <w:rFonts w:ascii="Calibri" w:hAnsi="Calibri" w:cs="Calibri"/>
          <w:color w:val="000000"/>
          <w:sz w:val="21"/>
          <w:szCs w:val="21"/>
          <w:shd w:val="clear" w:color="auto" w:fill="30302E"/>
        </w:rPr>
      </w:pPr>
    </w:p>
    <w:p w14:paraId="6DFECC8B" w14:textId="77777777" w:rsidR="00D5152D" w:rsidRPr="00C9280E" w:rsidRDefault="00000000" w:rsidP="00C9280E">
      <w:pPr>
        <w:pStyle w:val="Standard"/>
        <w:tabs>
          <w:tab w:val="right" w:leader="dot" w:pos="9072"/>
        </w:tabs>
        <w:jc w:val="both"/>
        <w:rPr>
          <w:rFonts w:ascii="Calibri" w:hAnsi="Calibri" w:cs="Calibri"/>
          <w:color w:val="000000"/>
        </w:rPr>
      </w:pPr>
      <w:r w:rsidRPr="00C9280E">
        <w:rPr>
          <w:rFonts w:ascii="Calibri" w:hAnsi="Calibri" w:cs="Calibri"/>
          <w:color w:val="000000"/>
        </w:rPr>
        <w:t>INSEE, Enquête Revenus Fiscaux et Sociaux (ERFS), millésimes 2005-2023 (tables ménage et base individus)</w:t>
      </w:r>
    </w:p>
    <w:p w14:paraId="62F9DF03" w14:textId="77777777" w:rsidR="00D5152D" w:rsidRDefault="00D5152D">
      <w:pPr>
        <w:pStyle w:val="Standard"/>
        <w:tabs>
          <w:tab w:val="right" w:leader="dot" w:pos="9072"/>
        </w:tabs>
        <w:rPr>
          <w:rFonts w:ascii="Calibri" w:hAnsi="Calibri" w:cs="Calibri"/>
          <w:color w:val="000000"/>
        </w:rPr>
      </w:pPr>
    </w:p>
    <w:p w14:paraId="26ED734C" w14:textId="77777777" w:rsidR="00D5152D" w:rsidRDefault="00000000">
      <w:pPr>
        <w:pStyle w:val="Standard"/>
        <w:tabs>
          <w:tab w:val="right" w:leader="dot" w:pos="9072"/>
        </w:tabs>
        <w:rPr>
          <w:rFonts w:ascii="Calibri" w:hAnsi="Calibri" w:cs="Calibri"/>
          <w:b/>
          <w:bCs/>
          <w:color w:val="000000"/>
        </w:rPr>
      </w:pPr>
      <w:r>
        <w:rPr>
          <w:rFonts w:ascii="Calibri" w:hAnsi="Calibri" w:cs="Calibri"/>
          <w:b/>
          <w:bCs/>
          <w:color w:val="000000"/>
        </w:rPr>
        <w:t>Problématique et principaux résultats attendus :</w:t>
      </w:r>
    </w:p>
    <w:p w14:paraId="17D7ABC1" w14:textId="77777777" w:rsidR="00C9280E" w:rsidRDefault="00C9280E">
      <w:pPr>
        <w:pStyle w:val="Standard"/>
        <w:tabs>
          <w:tab w:val="right" w:leader="dot" w:pos="9072"/>
        </w:tabs>
      </w:pPr>
    </w:p>
    <w:p w14:paraId="7E6CF216" w14:textId="77777777" w:rsidR="00D5152D" w:rsidRDefault="00000000" w:rsidP="00C9280E">
      <w:pPr>
        <w:pStyle w:val="Standard"/>
        <w:tabs>
          <w:tab w:val="right" w:leader="dot" w:pos="9072"/>
        </w:tabs>
        <w:jc w:val="both"/>
        <w:rPr>
          <w:rFonts w:ascii="Calibri" w:hAnsi="Calibri" w:cs="Calibri"/>
          <w:color w:val="000000"/>
        </w:rPr>
      </w:pPr>
      <w:r w:rsidRPr="00C9280E">
        <w:rPr>
          <w:rFonts w:ascii="Calibri" w:hAnsi="Calibri" w:cs="Calibri"/>
          <w:color w:val="000000"/>
        </w:rPr>
        <w:t>Le taux de pauvreté monétaire a atteint 15,4 % en France en 2023, niveau inédit depuis le milieu des années 1990, alors que le taux de chômage reculait simultanément à son plus bas depuis vingt ans. Ce découplage apparent entre dynamiques d'emploi et dynamiques de pauvreté constitue la question centrale de ce dossier : dans quelle mesure l'emploi continue-t-il de protéger de la pauvreté, et quels mécanismes expliqueraient une éventuelle érosion de cette protection ?</w:t>
      </w:r>
    </w:p>
    <w:p w14:paraId="42A6F2A5" w14:textId="77777777" w:rsidR="00C9280E" w:rsidRPr="00C9280E" w:rsidRDefault="00C9280E" w:rsidP="00C9280E">
      <w:pPr>
        <w:pStyle w:val="Standard"/>
        <w:tabs>
          <w:tab w:val="right" w:leader="dot" w:pos="9072"/>
        </w:tabs>
        <w:jc w:val="both"/>
        <w:rPr>
          <w:rFonts w:ascii="Calibri" w:hAnsi="Calibri" w:cs="Calibri"/>
          <w:color w:val="000000"/>
        </w:rPr>
      </w:pPr>
    </w:p>
    <w:p w14:paraId="34904123" w14:textId="0802ECFA" w:rsidR="00D5152D" w:rsidRDefault="00000000" w:rsidP="00C9280E">
      <w:pPr>
        <w:pStyle w:val="Standard"/>
        <w:tabs>
          <w:tab w:val="right" w:leader="dot" w:pos="9072"/>
        </w:tabs>
        <w:jc w:val="both"/>
        <w:rPr>
          <w:rFonts w:ascii="Calibri" w:hAnsi="Calibri" w:cs="Calibri"/>
          <w:color w:val="000000"/>
        </w:rPr>
      </w:pPr>
      <w:r w:rsidRPr="00C9280E">
        <w:rPr>
          <w:rFonts w:ascii="Calibri" w:hAnsi="Calibri" w:cs="Calibri"/>
          <w:color w:val="000000"/>
        </w:rPr>
        <w:t xml:space="preserve">Pour y répondre, le dossier mobilise les données individuelles de l'ERFS sur la période 2005-2023 en combinant deux approches complémentaires : </w:t>
      </w:r>
      <w:r w:rsidR="00C9280E">
        <w:rPr>
          <w:rFonts w:ascii="Calibri" w:hAnsi="Calibri" w:cs="Calibri"/>
          <w:color w:val="000000"/>
        </w:rPr>
        <w:t>des</w:t>
      </w:r>
      <w:r w:rsidRPr="00C9280E">
        <w:rPr>
          <w:rFonts w:ascii="Calibri" w:hAnsi="Calibri" w:cs="Calibri"/>
          <w:color w:val="000000"/>
        </w:rPr>
        <w:t xml:space="preserve"> décomposition</w:t>
      </w:r>
      <w:r w:rsidR="00C9280E">
        <w:rPr>
          <w:rFonts w:ascii="Calibri" w:hAnsi="Calibri" w:cs="Calibri"/>
          <w:color w:val="000000"/>
        </w:rPr>
        <w:t>s</w:t>
      </w:r>
      <w:r w:rsidRPr="00C9280E">
        <w:rPr>
          <w:rFonts w:ascii="Calibri" w:hAnsi="Calibri" w:cs="Calibri"/>
          <w:color w:val="000000"/>
        </w:rPr>
        <w:t xml:space="preserve"> séquentielle</w:t>
      </w:r>
      <w:r w:rsidR="00C9280E">
        <w:rPr>
          <w:rFonts w:ascii="Calibri" w:hAnsi="Calibri" w:cs="Calibri"/>
          <w:color w:val="000000"/>
        </w:rPr>
        <w:t>s</w:t>
      </w:r>
      <w:r w:rsidRPr="00C9280E">
        <w:rPr>
          <w:rFonts w:ascii="Calibri" w:hAnsi="Calibri" w:cs="Calibri"/>
          <w:color w:val="000000"/>
        </w:rPr>
        <w:t xml:space="preserve"> de la variation du taux de pauvreté, qui isole</w:t>
      </w:r>
      <w:r w:rsidR="00C9280E">
        <w:rPr>
          <w:rFonts w:ascii="Calibri" w:hAnsi="Calibri" w:cs="Calibri"/>
          <w:color w:val="000000"/>
        </w:rPr>
        <w:t>nt</w:t>
      </w:r>
      <w:r w:rsidRPr="00C9280E">
        <w:rPr>
          <w:rFonts w:ascii="Calibri" w:hAnsi="Calibri" w:cs="Calibri"/>
          <w:color w:val="000000"/>
        </w:rPr>
        <w:t xml:space="preserve"> les contributions respectives de l'effet seuil (lié à la nature relative de la mesure), des changements de structure démographique, de l'efficacité redistributive du système socio-fiscal et des revenus primaires ; et une analyse des déterminants individuels du risque de pauvreté, qui identifie — pour chaque année de la période — dans quelle mesure les variations du taux de pauvreté tiennent à des changements de composition de la population ou à une évolution du risque pour des profils donnés.</w:t>
      </w:r>
    </w:p>
    <w:p w14:paraId="742ECDA0" w14:textId="77777777" w:rsidR="00C9280E" w:rsidRPr="00C9280E" w:rsidRDefault="00C9280E" w:rsidP="00C9280E">
      <w:pPr>
        <w:pStyle w:val="Standard"/>
        <w:tabs>
          <w:tab w:val="right" w:leader="dot" w:pos="9072"/>
        </w:tabs>
        <w:jc w:val="both"/>
        <w:rPr>
          <w:rFonts w:ascii="Calibri" w:hAnsi="Calibri" w:cs="Calibri"/>
          <w:color w:val="000000"/>
        </w:rPr>
      </w:pPr>
    </w:p>
    <w:p w14:paraId="1D1F9B08" w14:textId="77777777" w:rsidR="00D5152D" w:rsidRPr="00C9280E" w:rsidRDefault="00000000" w:rsidP="00C9280E">
      <w:pPr>
        <w:pStyle w:val="Standard"/>
        <w:tabs>
          <w:tab w:val="right" w:leader="dot" w:pos="9072"/>
        </w:tabs>
        <w:jc w:val="both"/>
        <w:rPr>
          <w:rFonts w:ascii="Calibri" w:hAnsi="Calibri" w:cs="Calibri"/>
          <w:color w:val="000000"/>
        </w:rPr>
      </w:pPr>
      <w:r w:rsidRPr="00C9280E">
        <w:rPr>
          <w:rFonts w:ascii="Calibri" w:hAnsi="Calibri" w:cs="Calibri"/>
          <w:color w:val="000000"/>
        </w:rPr>
        <w:t>Les résultats attendus pourraient s'organiser autour de trois axes :</w:t>
      </w:r>
    </w:p>
    <w:p w14:paraId="608B480A" w14:textId="77777777" w:rsidR="00D5152D" w:rsidRPr="00C9280E" w:rsidRDefault="00D5152D" w:rsidP="00C9280E">
      <w:pPr>
        <w:pStyle w:val="Standard"/>
        <w:tabs>
          <w:tab w:val="right" w:leader="dot" w:pos="9072"/>
        </w:tabs>
        <w:jc w:val="both"/>
        <w:rPr>
          <w:rFonts w:ascii="Calibri" w:hAnsi="Calibri" w:cs="Calibri"/>
          <w:color w:val="000000"/>
        </w:rPr>
      </w:pPr>
    </w:p>
    <w:p w14:paraId="5A578212" w14:textId="77777777" w:rsidR="00D5152D" w:rsidRPr="00C9280E" w:rsidRDefault="00000000" w:rsidP="00C9280E">
      <w:pPr>
        <w:pStyle w:val="Standard"/>
        <w:tabs>
          <w:tab w:val="right" w:leader="dot" w:pos="9072"/>
        </w:tabs>
        <w:jc w:val="both"/>
        <w:rPr>
          <w:rFonts w:ascii="Calibri" w:hAnsi="Calibri" w:cs="Calibri"/>
          <w:color w:val="000000"/>
        </w:rPr>
      </w:pPr>
      <w:r w:rsidRPr="00C9280E">
        <w:rPr>
          <w:rFonts w:ascii="Calibri" w:hAnsi="Calibri" w:cs="Calibri"/>
          <w:b/>
          <w:bCs/>
          <w:color w:val="000000"/>
        </w:rPr>
        <w:t>Expliquer la hausse agrégée.</w:t>
      </w:r>
      <w:r w:rsidRPr="00C9280E">
        <w:rPr>
          <w:rFonts w:ascii="Calibri" w:hAnsi="Calibri" w:cs="Calibri"/>
          <w:color w:val="000000"/>
        </w:rPr>
        <w:t xml:space="preserve"> La décomposition séquentielle devrait permettre d'établir dans quelle mesure la hausse récente du taux de pauvreté tient à l'effet mécanique de la mesure relative (le seuil évoluant mécaniquement avec la médiane), à une dégradation des revenus primaires des ménages modestes ou à une érosion de l'efficacité redistributive du système socio-fiscal — permettant ainsi de hiérarchiser les mécanismes à l'œuvre.</w:t>
      </w:r>
    </w:p>
    <w:p w14:paraId="6A25CF98" w14:textId="77777777" w:rsidR="00D5152D" w:rsidRPr="00C9280E" w:rsidRDefault="00D5152D" w:rsidP="00C9280E">
      <w:pPr>
        <w:pStyle w:val="Standard"/>
        <w:tabs>
          <w:tab w:val="right" w:leader="dot" w:pos="9072"/>
        </w:tabs>
        <w:jc w:val="both"/>
        <w:rPr>
          <w:rFonts w:ascii="Calibri" w:hAnsi="Calibri" w:cs="Calibri"/>
          <w:color w:val="000000"/>
        </w:rPr>
      </w:pPr>
    </w:p>
    <w:p w14:paraId="4799D901" w14:textId="77777777" w:rsidR="00D5152D" w:rsidRPr="00C9280E" w:rsidRDefault="00000000" w:rsidP="00C9280E">
      <w:pPr>
        <w:pStyle w:val="Standard"/>
        <w:tabs>
          <w:tab w:val="right" w:leader="dot" w:pos="9072"/>
        </w:tabs>
        <w:jc w:val="both"/>
        <w:rPr>
          <w:rFonts w:ascii="Calibri" w:hAnsi="Calibri" w:cs="Calibri"/>
          <w:color w:val="000000"/>
        </w:rPr>
      </w:pPr>
      <w:r w:rsidRPr="00C9280E">
        <w:rPr>
          <w:rFonts w:ascii="Calibri" w:hAnsi="Calibri" w:cs="Calibri"/>
          <w:b/>
          <w:bCs/>
          <w:color w:val="000000"/>
        </w:rPr>
        <w:t xml:space="preserve">Identifier les groupes et les ruptures. </w:t>
      </w:r>
      <w:r w:rsidRPr="00C9280E">
        <w:rPr>
          <w:rFonts w:ascii="Calibri" w:hAnsi="Calibri" w:cs="Calibri"/>
          <w:color w:val="000000"/>
        </w:rPr>
        <w:t>L'analyse des déterminants individuels devrait permettre de caractériser à quels moments les hausses du taux de pauvreté ont tenu davantage à un accroissement de la proportion de profils à risque élevé — familles monoparentales, actifs à temps partiel subi, ménages en emploi précaire — ou à une aggravation du risque pour des profils donnés, et si ces contributions ont évolué de manière continue ou par ruptures. Une attention particulière pourrait être portée aux actifs occupés pauvres, pour lesquels la base individus de l'ERFS permettrait d'examiner si la structure de leurs ressources (revenus d'activité, prestations sociales) s'est modifiée au cours de la période.</w:t>
      </w:r>
    </w:p>
    <w:p w14:paraId="7426CC95" w14:textId="77777777" w:rsidR="00D5152D" w:rsidRPr="00C9280E" w:rsidRDefault="00D5152D" w:rsidP="00C9280E">
      <w:pPr>
        <w:pStyle w:val="Standard"/>
        <w:tabs>
          <w:tab w:val="right" w:leader="dot" w:pos="9072"/>
        </w:tabs>
        <w:jc w:val="both"/>
        <w:rPr>
          <w:rFonts w:ascii="Calibri" w:hAnsi="Calibri" w:cs="Calibri"/>
          <w:color w:val="000000"/>
        </w:rPr>
      </w:pPr>
    </w:p>
    <w:p w14:paraId="0F836C70" w14:textId="77777777" w:rsidR="00D5152D" w:rsidRPr="00C9280E" w:rsidRDefault="00000000" w:rsidP="00C9280E">
      <w:pPr>
        <w:pStyle w:val="Standard"/>
        <w:tabs>
          <w:tab w:val="right" w:leader="dot" w:pos="9072"/>
        </w:tabs>
        <w:jc w:val="both"/>
        <w:rPr>
          <w:rFonts w:ascii="Calibri" w:hAnsi="Calibri" w:cs="Calibri"/>
          <w:color w:val="000000"/>
        </w:rPr>
      </w:pPr>
      <w:r w:rsidRPr="00C9280E">
        <w:rPr>
          <w:rFonts w:ascii="Calibri" w:hAnsi="Calibri" w:cs="Calibri"/>
          <w:b/>
          <w:bCs/>
          <w:color w:val="000000"/>
        </w:rPr>
        <w:t xml:space="preserve">Interroger la protection par l'emploi. </w:t>
      </w:r>
      <w:r w:rsidRPr="00C9280E">
        <w:rPr>
          <w:rFonts w:ascii="Calibri" w:hAnsi="Calibri" w:cs="Calibri"/>
          <w:color w:val="000000"/>
        </w:rPr>
        <w:t>En mettant en regard les résultats des deux axes précédents, le dossier chercherait à évaluer dans quelle mesure l'emploi constitue encore un rempart efficace contre la pauvreté : si la hausse du taux de pauvreté s'explique principalement par une insuffisance des revenus d'activité des ménages en emploi ou par une érosion de la redistribution, les implications en matière de politique sociale différeraient sensiblement.</w:t>
      </w:r>
    </w:p>
    <w:p w14:paraId="3FE3C55A" w14:textId="77777777" w:rsidR="00D5152D" w:rsidRDefault="00D5152D">
      <w:pPr>
        <w:pStyle w:val="Standard"/>
        <w:tabs>
          <w:tab w:val="right" w:leader="dot" w:pos="9072"/>
        </w:tabs>
        <w:rPr>
          <w:rFonts w:ascii="Calibri" w:hAnsi="Calibri" w:cs="Calibri"/>
          <w:color w:val="000000"/>
        </w:rPr>
      </w:pPr>
    </w:p>
    <w:p w14:paraId="2016DE2C" w14:textId="77777777" w:rsidR="00D5152D" w:rsidRDefault="00000000">
      <w:pPr>
        <w:pStyle w:val="Standard"/>
        <w:tabs>
          <w:tab w:val="right" w:leader="dot" w:pos="9072"/>
        </w:tabs>
        <w:rPr>
          <w:rFonts w:ascii="Calibri" w:hAnsi="Calibri" w:cs="Calibri"/>
          <w:color w:val="000000"/>
        </w:rPr>
      </w:pPr>
      <w:r>
        <w:rPr>
          <w:rFonts w:ascii="Calibri" w:hAnsi="Calibri" w:cs="Calibri"/>
          <w:color w:val="000000"/>
        </w:rPr>
        <w:lastRenderedPageBreak/>
        <w:t>Le dossier proposerait six à huit figures mobilisant des séries longues couvrant l’ensemble de la période 2005-2023.</w:t>
      </w:r>
    </w:p>
    <w:p w14:paraId="023395AE" w14:textId="77777777" w:rsidR="00C9280E" w:rsidRDefault="00C9280E">
      <w:pPr>
        <w:pStyle w:val="Standard"/>
        <w:tabs>
          <w:tab w:val="right" w:leader="dot" w:pos="9072"/>
        </w:tabs>
        <w:rPr>
          <w:rFonts w:ascii="Calibri" w:hAnsi="Calibri" w:cs="Calibri"/>
          <w:color w:val="000000"/>
        </w:rPr>
      </w:pPr>
    </w:p>
    <w:p w14:paraId="2855F49C" w14:textId="77777777" w:rsidR="00D5152D" w:rsidRDefault="00000000">
      <w:pPr>
        <w:pStyle w:val="Standard"/>
        <w:tabs>
          <w:tab w:val="right" w:leader="dot" w:pos="9072"/>
        </w:tabs>
        <w:jc w:val="both"/>
      </w:pPr>
      <w:r>
        <w:rPr>
          <w:rFonts w:ascii="Calibri" w:hAnsi="Calibri" w:cs="Calibri"/>
          <w:b/>
          <w:bCs/>
          <w:color w:val="000000"/>
        </w:rPr>
        <w:t>Y a-t-il d’autres projets de publications des autrices et/ou auteurs (ou de leurs organismes de rattachement) prévus sur le même thème ou à partir des mêmes sources ?</w:t>
      </w:r>
    </w:p>
    <w:p w14:paraId="012A9FEF" w14:textId="77777777" w:rsidR="00D5152D" w:rsidRDefault="00D5152D">
      <w:pPr>
        <w:pStyle w:val="Standard"/>
        <w:tabs>
          <w:tab w:val="right" w:leader="dot" w:pos="9072"/>
        </w:tabs>
        <w:jc w:val="both"/>
        <w:rPr>
          <w:rFonts w:ascii="Calibri" w:hAnsi="Calibri" w:cs="Calibri"/>
          <w:color w:val="000000"/>
          <w:sz w:val="21"/>
          <w:szCs w:val="21"/>
          <w:shd w:val="clear" w:color="auto" w:fill="30302E"/>
        </w:rPr>
      </w:pPr>
    </w:p>
    <w:p w14:paraId="5B464B6B" w14:textId="7E79AFDF" w:rsidR="00D5152D" w:rsidRPr="00C9280E" w:rsidRDefault="00000000">
      <w:pPr>
        <w:pStyle w:val="Standard"/>
        <w:tabs>
          <w:tab w:val="right" w:leader="dot" w:pos="9072"/>
        </w:tabs>
        <w:jc w:val="both"/>
        <w:rPr>
          <w:rFonts w:ascii="Calibri" w:hAnsi="Calibri" w:cs="Calibri"/>
          <w:color w:val="000000"/>
        </w:rPr>
      </w:pPr>
      <w:r w:rsidRPr="00C9280E">
        <w:rPr>
          <w:rFonts w:ascii="Calibri" w:hAnsi="Calibri" w:cs="Calibri"/>
          <w:color w:val="000000"/>
        </w:rPr>
        <w:t xml:space="preserve">Cette proposition s'inscrit dans la continuité des travaux menés par l’OFCE et </w:t>
      </w:r>
      <w:r w:rsidR="00C9280E">
        <w:rPr>
          <w:rFonts w:ascii="Calibri" w:hAnsi="Calibri" w:cs="Calibri"/>
          <w:color w:val="000000"/>
        </w:rPr>
        <w:t>le</w:t>
      </w:r>
      <w:r w:rsidRPr="00C9280E">
        <w:rPr>
          <w:rFonts w:ascii="Calibri" w:hAnsi="Calibri" w:cs="Calibri"/>
          <w:color w:val="000000"/>
        </w:rPr>
        <w:t xml:space="preserve"> Comité scientifique du CNLE sur les dynamiques de la pauvreté en </w:t>
      </w:r>
      <w:r w:rsidR="00C9280E">
        <w:rPr>
          <w:rFonts w:ascii="Calibri" w:hAnsi="Calibri" w:cs="Calibri"/>
          <w:color w:val="000000"/>
        </w:rPr>
        <w:t>France dont elle nourrira les réflexions et/ou possiblement les publications à venir.</w:t>
      </w:r>
    </w:p>
    <w:p w14:paraId="32C83F89" w14:textId="77777777" w:rsidR="00D5152D" w:rsidRDefault="00D5152D">
      <w:pPr>
        <w:pStyle w:val="Standard"/>
        <w:tabs>
          <w:tab w:val="right" w:leader="dot" w:pos="9072"/>
        </w:tabs>
        <w:jc w:val="both"/>
        <w:rPr>
          <w:rFonts w:ascii="Calibri" w:hAnsi="Calibri" w:cs="Calibri"/>
          <w:color w:val="000000"/>
        </w:rPr>
      </w:pPr>
    </w:p>
    <w:p w14:paraId="473A2CC8" w14:textId="77777777" w:rsidR="00D5152D" w:rsidRDefault="00D5152D">
      <w:pPr>
        <w:pStyle w:val="Standard"/>
        <w:tabs>
          <w:tab w:val="right" w:leader="dot" w:pos="9072"/>
        </w:tabs>
        <w:jc w:val="both"/>
        <w:rPr>
          <w:rFonts w:ascii="Calibri" w:hAnsi="Calibri" w:cs="Calibri"/>
          <w:color w:val="000000"/>
        </w:rPr>
      </w:pPr>
    </w:p>
    <w:p w14:paraId="1DD4CF79" w14:textId="77777777" w:rsidR="00D5152D" w:rsidRDefault="00D5152D">
      <w:pPr>
        <w:pStyle w:val="Standard"/>
        <w:tabs>
          <w:tab w:val="right" w:leader="dot" w:pos="9072"/>
        </w:tabs>
        <w:jc w:val="both"/>
        <w:rPr>
          <w:rFonts w:ascii="Calibri" w:hAnsi="Calibri" w:cs="Calibri"/>
          <w:color w:val="000000"/>
        </w:rPr>
      </w:pPr>
    </w:p>
    <w:p w14:paraId="08280E22" w14:textId="77777777" w:rsidR="00D5152D" w:rsidRDefault="00D5152D">
      <w:pPr>
        <w:pStyle w:val="Standard"/>
        <w:tabs>
          <w:tab w:val="right" w:leader="dot" w:pos="9072"/>
        </w:tabs>
        <w:jc w:val="both"/>
        <w:rPr>
          <w:rFonts w:ascii="Calibri" w:hAnsi="Calibri" w:cs="Calibri"/>
          <w:color w:val="000000"/>
        </w:rPr>
      </w:pPr>
    </w:p>
    <w:p w14:paraId="03B2D22C" w14:textId="77777777" w:rsidR="00D5152D" w:rsidRDefault="00D5152D">
      <w:pPr>
        <w:pStyle w:val="Standard"/>
        <w:tabs>
          <w:tab w:val="right" w:leader="dot" w:pos="9072"/>
        </w:tabs>
        <w:rPr>
          <w:rFonts w:ascii="Calibri" w:hAnsi="Calibri" w:cs="Calibri"/>
          <w:color w:val="000000"/>
        </w:rPr>
      </w:pPr>
    </w:p>
    <w:sectPr w:rsidR="00D5152D">
      <w:pgSz w:w="11906" w:h="16838"/>
      <w:pgMar w:top="1134" w:right="1418"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1028B" w14:textId="77777777" w:rsidR="00BA73FA" w:rsidRDefault="00BA73FA">
      <w:pPr>
        <w:rPr>
          <w:rFonts w:hint="eastAsia"/>
        </w:rPr>
      </w:pPr>
      <w:r>
        <w:separator/>
      </w:r>
    </w:p>
  </w:endnote>
  <w:endnote w:type="continuationSeparator" w:id="0">
    <w:p w14:paraId="3FDF0E2C" w14:textId="77777777" w:rsidR="00BA73FA" w:rsidRDefault="00BA73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iberation Sans">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OpenSymbol">
    <w:panose1 w:val="020B0604020202020204"/>
    <w:charset w:val="02"/>
    <w:family w:val="auto"/>
    <w:pitch w:val="default"/>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2CF96" w14:textId="77777777" w:rsidR="00BA73FA" w:rsidRDefault="00BA73FA">
      <w:pPr>
        <w:rPr>
          <w:rFonts w:hint="eastAsia"/>
        </w:rPr>
      </w:pPr>
      <w:r>
        <w:rPr>
          <w:color w:val="000000"/>
        </w:rPr>
        <w:separator/>
      </w:r>
    </w:p>
  </w:footnote>
  <w:footnote w:type="continuationSeparator" w:id="0">
    <w:p w14:paraId="0747F19C" w14:textId="77777777" w:rsidR="00BA73FA" w:rsidRDefault="00BA73F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92791"/>
    <w:multiLevelType w:val="multilevel"/>
    <w:tmpl w:val="1DE2EBE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num w:numId="1" w16cid:durableId="1141264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D5152D"/>
    <w:rsid w:val="002E5629"/>
    <w:rsid w:val="00BA73FA"/>
    <w:rsid w:val="00C9280E"/>
    <w:rsid w:val="00D515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66722BF"/>
  <w15:docId w15:val="{EC91FDC1-DC9A-404C-A37A-06B4E24E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fr-F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uppressAutoHyphens/>
    </w:pPr>
    <w:rPr>
      <w:rFonts w:ascii="Arial" w:eastAsia="Times New Roman" w:hAnsi="Arial"/>
      <w:sz w:val="20"/>
      <w:szCs w:val="20"/>
      <w:lang w:bidi="ar-SA"/>
    </w:r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e">
    <w:name w:val="List"/>
    <w:basedOn w:val="Textbody"/>
    <w:rPr>
      <w:rFonts w:cs="Mangal"/>
    </w:rPr>
  </w:style>
  <w:style w:type="paragraph" w:styleId="Lgende">
    <w:name w:val="caption"/>
    <w:basedOn w:val="Standard"/>
    <w:pPr>
      <w:suppressLineNumbers/>
      <w:spacing w:before="120" w:after="120"/>
    </w:pPr>
    <w:rPr>
      <w:rFonts w:cs="Mangal"/>
      <w:i/>
      <w:iCs/>
      <w:sz w:val="24"/>
      <w:szCs w:val="24"/>
    </w:rPr>
  </w:style>
  <w:style w:type="paragraph" w:customStyle="1" w:styleId="Index">
    <w:name w:val="Index"/>
    <w:basedOn w:val="Standard"/>
    <w:pPr>
      <w:suppressLineNumbers/>
    </w:pPr>
    <w:rPr>
      <w:rFonts w:cs="Mangal"/>
    </w:rPr>
  </w:style>
  <w:style w:type="paragraph" w:customStyle="1" w:styleId="Titre1">
    <w:name w:val="Titre1"/>
    <w:basedOn w:val="Standard"/>
    <w:next w:val="Textbody"/>
    <w:pPr>
      <w:keepNext/>
      <w:spacing w:before="240" w:after="120"/>
    </w:pPr>
    <w:rPr>
      <w:rFonts w:ascii="Liberation Sans" w:eastAsia="Microsoft YaHei" w:hAnsi="Liberation Sans" w:cs="Mangal"/>
      <w:sz w:val="28"/>
      <w:szCs w:val="28"/>
    </w:rPr>
  </w:style>
  <w:style w:type="paragraph" w:customStyle="1" w:styleId="Footnote">
    <w:name w:val="Footnote"/>
    <w:basedOn w:val="Standard"/>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Policepardfaut1">
    <w:name w:val="Police par défaut1"/>
  </w:style>
  <w:style w:type="character" w:customStyle="1" w:styleId="FootnoteSymbol">
    <w:name w:val="Footnote Symbol"/>
    <w:rPr>
      <w:position w:val="0"/>
      <w:vertAlign w:val="superscript"/>
    </w:rPr>
  </w:style>
  <w:style w:type="character" w:customStyle="1" w:styleId="Internetlink">
    <w:name w:val="Internet link"/>
    <w:rPr>
      <w:color w:val="0000FF"/>
      <w:u w:val="single"/>
    </w:rPr>
  </w:style>
  <w:style w:type="character" w:customStyle="1" w:styleId="VisitedInternetLink">
    <w:name w:val="Visited Internet Link"/>
    <w:rPr>
      <w:color w:val="800000"/>
      <w:u w:val="single"/>
    </w:rPr>
  </w:style>
  <w:style w:type="character" w:customStyle="1" w:styleId="BulletSymbols">
    <w:name w:val="Bullet Symbols"/>
    <w:rPr>
      <w:rFonts w:ascii="OpenSymbol" w:eastAsia="OpenSymbol" w:hAnsi="OpenSymbol" w:cs="OpenSymbol"/>
    </w:rPr>
  </w:style>
  <w:style w:type="paragraph" w:styleId="NormalWeb">
    <w:name w:val="Normal (Web)"/>
    <w:basedOn w:val="Normal"/>
    <w:pPr>
      <w:widowControl/>
      <w:suppressAutoHyphens w:val="0"/>
      <w:spacing w:before="100" w:after="100"/>
      <w:textAlignment w:val="auto"/>
    </w:pPr>
    <w:rPr>
      <w:rFonts w:ascii="Times New Roman" w:eastAsia="Times New Roman" w:hAnsi="Times New Roman" w:cs="Times New Roman"/>
      <w:kern w:val="0"/>
      <w:lang w:eastAsia="fr-FR" w:bidi="ar-SA"/>
    </w:rPr>
  </w:style>
  <w:style w:type="character" w:styleId="Accentuation">
    <w:name w:val="Emphasis"/>
    <w:basedOn w:val="Policepardfau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enjamin.gilbert@insee.fr" TargetMode="External"/><Relationship Id="rId3" Type="http://schemas.openxmlformats.org/officeDocument/2006/relationships/settings" Target="settings.xml"/><Relationship Id="rId7" Type="http://schemas.openxmlformats.org/officeDocument/2006/relationships/hyperlink" Target="mailto:emilie.raynaud@insee.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630</Words>
  <Characters>3466</Characters>
  <Application>Microsoft Office Word</Application>
  <DocSecurity>0</DocSecurity>
  <Lines>28</Lines>
  <Paragraphs>8</Paragraphs>
  <ScaleCrop>false</ScaleCrop>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France, portrait social - édition 2008</dc:title>
  <dc:creator>JAUNEAU</dc:creator>
  <cp:lastModifiedBy>Pierre MADEC</cp:lastModifiedBy>
  <cp:revision>2</cp:revision>
  <dcterms:created xsi:type="dcterms:W3CDTF">2026-03-05T10:33:00Z</dcterms:created>
  <dcterms:modified xsi:type="dcterms:W3CDTF">2026-03-05T10:33:00Z</dcterms:modified>
</cp:coreProperties>
</file>