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44A03" w14:textId="77777777" w:rsidR="00AA4971" w:rsidRDefault="00000000">
      <w:pPr>
        <w:spacing w:after="360"/>
        <w:jc w:val="center"/>
      </w:pPr>
      <w:r>
        <w:rPr>
          <w:b/>
          <w:color w:val="102C57"/>
          <w:sz w:val="44"/>
        </w:rPr>
        <w:t>TECHNICAL NOTE: QUANTITATIVE BOND PRICING COMPREHENSIVE STUDY</w:t>
      </w:r>
    </w:p>
    <w:p w14:paraId="22380366" w14:textId="77777777" w:rsidR="00AA4971" w:rsidRDefault="00000000">
      <w:pPr>
        <w:spacing w:after="120"/>
      </w:pPr>
      <w:r>
        <w:t>Comparing Closed-Form, Monte Carlo, Finite Differences, Neural Networks, and Physics-Informed Neural Networks (PINN) inside the Hull-White Framework</w:t>
      </w:r>
    </w:p>
    <w:p w14:paraId="59E71D46" w14:textId="77777777" w:rsidR="00AA4971" w:rsidRDefault="00000000">
      <w:pPr>
        <w:keepNext/>
        <w:spacing w:before="280" w:after="120"/>
      </w:pPr>
      <w:r>
        <w:rPr>
          <w:b/>
          <w:color w:val="102C57"/>
          <w:sz w:val="32"/>
        </w:rPr>
        <w:t>1. Executive Summary</w:t>
      </w:r>
    </w:p>
    <w:p w14:paraId="125AE046" w14:textId="77777777" w:rsidR="00AA4971" w:rsidRDefault="00000000">
      <w:pPr>
        <w:spacing w:after="120"/>
      </w:pPr>
      <w:r>
        <w:t>This technical report presents a comprehensive benchmarking of zero-coupon bond valuation methodologies within the Hull-White Short-Rate Framework. To rigorously assess empirical generalization and out-of-sample extrapolation robustness, data-driven deep learning models are trained on a restricted short-rate corridor [0.01, 0.07] and evaluated across a wider, challenging test spectrum [-0.05, 0.15].</w:t>
      </w:r>
    </w:p>
    <w:p w14:paraId="435A88BD" w14:textId="77777777" w:rsidR="00AA4971" w:rsidRDefault="00000000">
      <w:pPr>
        <w:spacing w:after="120"/>
      </w:pPr>
      <w:r>
        <w:t>The quantitative findings demonstrate that traditional data-driven artificial neural networks (ANNs) fail structurally outside their explicit sampling zones, introducing non-financial pricing anomalies and complete divergence on deep out-of-the-money domains. Conversely, Physics-Informed Neural Networks (PINNs) achieve robust generalization and absolute stability by embedding the continuous interest rate partial differential operators and terminal boundary states directly inside the gradient optimization objective, guaranteeing arbitrage-free pricing surfaces across the entire global domain.</w:t>
      </w:r>
    </w:p>
    <w:p w14:paraId="033C940E" w14:textId="77777777" w:rsidR="00AA4971" w:rsidRDefault="00000000">
      <w:pPr>
        <w:keepNext/>
        <w:spacing w:before="280" w:after="120"/>
      </w:pPr>
      <w:r>
        <w:rPr>
          <w:b/>
          <w:color w:val="102C57"/>
          <w:sz w:val="32"/>
        </w:rPr>
        <w:t>2. Theoretical Framework &amp; Short-Rate Dynamics</w:t>
      </w:r>
    </w:p>
    <w:p w14:paraId="460884F3" w14:textId="77777777" w:rsidR="00AA4971" w:rsidRDefault="00000000">
      <w:pPr>
        <w:spacing w:after="120"/>
      </w:pPr>
      <w:r>
        <w:t>Under the risk-neutral pricing measure, the instantaneous short-term interest rate r(t) follows a Gaussian mean-reverting process governed by the Hull-White stochastic differential equation:</w:t>
      </w:r>
    </w:p>
    <w:tbl>
      <w:tblPr>
        <w:tblW w:w="0" w:type="auto"/>
        <w:jc w:val="center"/>
        <w:tblLook w:val="04A0" w:firstRow="1" w:lastRow="0" w:firstColumn="1" w:lastColumn="0" w:noHBand="0" w:noVBand="1"/>
      </w:tblPr>
      <w:tblGrid>
        <w:gridCol w:w="9330"/>
      </w:tblGrid>
      <w:tr w:rsidR="00AA4971" w14:paraId="50367748" w14:textId="77777777">
        <w:trPr>
          <w:jc w:val="center"/>
        </w:trPr>
        <w:tc>
          <w:tcPr>
            <w:tcW w:w="9360" w:type="dxa"/>
            <w:tcBorders>
              <w:left w:val="single" w:sz="24" w:space="0" w:color="35A29F"/>
            </w:tcBorders>
            <w:shd w:val="clear" w:color="auto" w:fill="F4F6F9"/>
          </w:tcPr>
          <w:p w14:paraId="4FE12A08" w14:textId="77777777" w:rsidR="00AA4971" w:rsidRDefault="00000000">
            <w:pPr>
              <w:spacing w:before="120" w:after="120"/>
              <w:ind w:left="216" w:right="216"/>
            </w:pPr>
            <w:r>
              <w:rPr>
                <w:rFonts w:ascii="Courier New" w:hAnsi="Courier New"/>
                <w:b/>
                <w:color w:val="1A1A1A"/>
                <w:sz w:val="21"/>
              </w:rPr>
              <w:t>dr_t = (theta_const - a * r_t) * dt + sigma * dW_t</w:t>
            </w:r>
          </w:p>
          <w:p w14:paraId="0C1657E4" w14:textId="77777777" w:rsidR="00AA4971" w:rsidRDefault="00000000">
            <w:pPr>
              <w:spacing w:before="80" w:after="120"/>
              <w:ind w:left="216"/>
            </w:pPr>
            <w:r>
              <w:rPr>
                <w:i/>
                <w:color w:val="555555"/>
                <w:sz w:val="19"/>
              </w:rPr>
              <w:t>Where:</w:t>
            </w:r>
            <w:r>
              <w:rPr>
                <w:i/>
                <w:color w:val="555555"/>
                <w:sz w:val="19"/>
              </w:rPr>
              <w:br/>
              <w:t>a           = Constant speed of mean reversion.</w:t>
            </w:r>
            <w:r>
              <w:rPr>
                <w:i/>
                <w:color w:val="555555"/>
                <w:sz w:val="19"/>
              </w:rPr>
              <w:br/>
              <w:t>theta_const = Long-term drift parameters (assumed constant for structure analysis).</w:t>
            </w:r>
            <w:r>
              <w:rPr>
                <w:i/>
                <w:color w:val="555555"/>
                <w:sz w:val="19"/>
              </w:rPr>
              <w:br/>
              <w:t>sigma       = Constant volatility of the short interest rate.</w:t>
            </w:r>
            <w:r>
              <w:rPr>
                <w:i/>
                <w:color w:val="555555"/>
                <w:sz w:val="19"/>
              </w:rPr>
              <w:br/>
              <w:t>dW_t        = Standard Brownian motion increment process.</w:t>
            </w:r>
          </w:p>
        </w:tc>
      </w:tr>
    </w:tbl>
    <w:p w14:paraId="548ADA80" w14:textId="77777777" w:rsidR="00AA4971" w:rsidRDefault="00AA4971">
      <w:pPr>
        <w:spacing w:after="80"/>
      </w:pPr>
    </w:p>
    <w:p w14:paraId="6DED3611" w14:textId="77777777" w:rsidR="00AA4971" w:rsidRDefault="00000000">
      <w:pPr>
        <w:spacing w:after="120"/>
      </w:pPr>
      <w:r>
        <w:t>The pricing value of a zero-coupon bond P(r, t) that matures at time T satisfies the second-order parabolic partial differential equation (PDE) stemming from the absence of arbitrage:</w:t>
      </w:r>
    </w:p>
    <w:tbl>
      <w:tblPr>
        <w:tblW w:w="0" w:type="auto"/>
        <w:jc w:val="center"/>
        <w:tblLook w:val="04A0" w:firstRow="1" w:lastRow="0" w:firstColumn="1" w:lastColumn="0" w:noHBand="0" w:noVBand="1"/>
      </w:tblPr>
      <w:tblGrid>
        <w:gridCol w:w="9330"/>
      </w:tblGrid>
      <w:tr w:rsidR="00AA4971" w14:paraId="3F1D5B9D" w14:textId="77777777">
        <w:trPr>
          <w:jc w:val="center"/>
        </w:trPr>
        <w:tc>
          <w:tcPr>
            <w:tcW w:w="9360" w:type="dxa"/>
            <w:tcBorders>
              <w:left w:val="single" w:sz="24" w:space="0" w:color="35A29F"/>
            </w:tcBorders>
            <w:shd w:val="clear" w:color="auto" w:fill="F4F6F9"/>
          </w:tcPr>
          <w:p w14:paraId="404014A6" w14:textId="77777777" w:rsidR="00AA4971" w:rsidRDefault="00000000">
            <w:pPr>
              <w:spacing w:before="120" w:after="120"/>
              <w:ind w:left="216" w:right="216"/>
            </w:pPr>
            <w:r>
              <w:rPr>
                <w:rFonts w:ascii="Courier New" w:hAnsi="Courier New"/>
                <w:b/>
                <w:color w:val="1A1A1A"/>
                <w:sz w:val="21"/>
              </w:rPr>
              <w:t>dP/dt + (theta_const - a * r) * dP/dr + 0.5 * sigma^2 * d2P/dr2 - r * P = 0</w:t>
            </w:r>
          </w:p>
          <w:p w14:paraId="7565027D" w14:textId="77777777" w:rsidR="00AA4971" w:rsidRDefault="00000000">
            <w:pPr>
              <w:spacing w:before="80" w:after="120"/>
              <w:ind w:left="216"/>
            </w:pPr>
            <w:r>
              <w:rPr>
                <w:i/>
                <w:color w:val="555555"/>
                <w:sz w:val="19"/>
              </w:rPr>
              <w:t>Subject to the terminal maturity payoff boundary condition: P(r, T) = 1.0</w:t>
            </w:r>
          </w:p>
        </w:tc>
      </w:tr>
    </w:tbl>
    <w:p w14:paraId="64506695" w14:textId="77777777" w:rsidR="00AA4971" w:rsidRDefault="00AA4971">
      <w:pPr>
        <w:spacing w:after="80"/>
      </w:pPr>
    </w:p>
    <w:p w14:paraId="7B7C4614" w14:textId="77777777" w:rsidR="00AA4971" w:rsidRDefault="00000000">
      <w:pPr>
        <w:keepNext/>
        <w:spacing w:before="280" w:after="120"/>
      </w:pPr>
      <w:r>
        <w:rPr>
          <w:b/>
          <w:color w:val="102C57"/>
          <w:sz w:val="32"/>
        </w:rPr>
        <w:lastRenderedPageBreak/>
        <w:t>3. Numerical Methodology Profiles</w:t>
      </w:r>
    </w:p>
    <w:p w14:paraId="6999794E" w14:textId="77777777" w:rsidR="00AA4971" w:rsidRDefault="00000000">
      <w:pPr>
        <w:keepNext/>
        <w:spacing w:before="200" w:after="80"/>
      </w:pPr>
      <w:r>
        <w:rPr>
          <w:b/>
          <w:color w:val="35A29F"/>
          <w:sz w:val="26"/>
        </w:rPr>
        <w:t>3.1 1D Analytical Closed-Form Solution</w:t>
      </w:r>
    </w:p>
    <w:p w14:paraId="3FCF91E8" w14:textId="77777777" w:rsidR="00AA4971" w:rsidRDefault="00000000">
      <w:pPr>
        <w:spacing w:after="120"/>
      </w:pPr>
      <w:r>
        <w:t>Because the Hull-White model belongs to the class of affine term structures, the exact analytical price can be written as an exponential linear function of the current short rate:</w:t>
      </w:r>
    </w:p>
    <w:tbl>
      <w:tblPr>
        <w:tblW w:w="0" w:type="auto"/>
        <w:jc w:val="center"/>
        <w:tblLook w:val="04A0" w:firstRow="1" w:lastRow="0" w:firstColumn="1" w:lastColumn="0" w:noHBand="0" w:noVBand="1"/>
      </w:tblPr>
      <w:tblGrid>
        <w:gridCol w:w="9330"/>
      </w:tblGrid>
      <w:tr w:rsidR="00AA4971" w14:paraId="5733322B" w14:textId="77777777">
        <w:trPr>
          <w:jc w:val="center"/>
        </w:trPr>
        <w:tc>
          <w:tcPr>
            <w:tcW w:w="9360" w:type="dxa"/>
            <w:tcBorders>
              <w:left w:val="single" w:sz="24" w:space="0" w:color="35A29F"/>
            </w:tcBorders>
            <w:shd w:val="clear" w:color="auto" w:fill="F4F6F9"/>
          </w:tcPr>
          <w:p w14:paraId="191D52B1" w14:textId="77777777" w:rsidR="00AA4971" w:rsidRDefault="00000000">
            <w:pPr>
              <w:spacing w:before="120" w:after="120"/>
              <w:ind w:left="216" w:right="216"/>
            </w:pPr>
            <w:r>
              <w:rPr>
                <w:rFonts w:ascii="Courier New" w:hAnsi="Courier New"/>
                <w:b/>
                <w:color w:val="1A1A1A"/>
                <w:sz w:val="21"/>
              </w:rPr>
              <w:t>P(r, t) = A(t, T) * exp(-B(t, T) * r)</w:t>
            </w:r>
            <w:r>
              <w:rPr>
                <w:rFonts w:ascii="Courier New" w:hAnsi="Courier New"/>
                <w:b/>
                <w:color w:val="1A1A1A"/>
                <w:sz w:val="21"/>
              </w:rPr>
              <w:br/>
              <w:t>B(t, T) = (1.0 - exp(-a * (T - t))) / a</w:t>
            </w:r>
            <w:r>
              <w:rPr>
                <w:rFonts w:ascii="Courier New" w:hAnsi="Courier New"/>
                <w:b/>
                <w:color w:val="1A1A1A"/>
                <w:sz w:val="21"/>
              </w:rPr>
              <w:br/>
              <w:t>A(t, T) = exp( (theta_const - sigma^2 / (2*a^2)) * (B(t, T) - (T - t)) - (sigma^2 * B(t, T)^2) / (4*a) )</w:t>
            </w:r>
          </w:p>
          <w:p w14:paraId="14FA08E0" w14:textId="77777777" w:rsidR="00AA4971" w:rsidRDefault="00000000">
            <w:pPr>
              <w:spacing w:before="80" w:after="120"/>
              <w:ind w:left="216"/>
            </w:pPr>
            <w:r>
              <w:rPr>
                <w:i/>
                <w:color w:val="555555"/>
                <w:sz w:val="19"/>
              </w:rPr>
              <w:t>This closed-form formulation provides the absolute exact benchmark parameter used to establish baseline target validation values across the comparative matrix.</w:t>
            </w:r>
          </w:p>
        </w:tc>
      </w:tr>
    </w:tbl>
    <w:p w14:paraId="62188FAF" w14:textId="77777777" w:rsidR="00AA4971" w:rsidRDefault="00AA4971">
      <w:pPr>
        <w:spacing w:after="80"/>
      </w:pPr>
    </w:p>
    <w:p w14:paraId="634D1446" w14:textId="77777777" w:rsidR="00AA4971" w:rsidRDefault="00000000">
      <w:pPr>
        <w:keepNext/>
        <w:spacing w:before="200" w:after="80"/>
      </w:pPr>
      <w:r>
        <w:rPr>
          <w:b/>
          <w:color w:val="35A29F"/>
          <w:sz w:val="26"/>
        </w:rPr>
        <w:t>3.2 Vectorized Monte Carlo Simulation</w:t>
      </w:r>
    </w:p>
    <w:p w14:paraId="1F0FAA42" w14:textId="77777777" w:rsidR="00AA4971" w:rsidRDefault="00000000">
      <w:pPr>
        <w:spacing w:after="120"/>
      </w:pPr>
      <w:r>
        <w:t>The stochastic alternative path tracks the transition probability density by simulating conditional short-rate paths over discrete intervals. It evaluates the exact conditional Euler schema point-by-point, taking the continuous risk-neutral discount expectation:</w:t>
      </w:r>
    </w:p>
    <w:tbl>
      <w:tblPr>
        <w:tblW w:w="0" w:type="auto"/>
        <w:jc w:val="center"/>
        <w:tblLook w:val="04A0" w:firstRow="1" w:lastRow="0" w:firstColumn="1" w:lastColumn="0" w:noHBand="0" w:noVBand="1"/>
      </w:tblPr>
      <w:tblGrid>
        <w:gridCol w:w="9330"/>
      </w:tblGrid>
      <w:tr w:rsidR="00AA4971" w14:paraId="6C46D480" w14:textId="77777777">
        <w:trPr>
          <w:jc w:val="center"/>
        </w:trPr>
        <w:tc>
          <w:tcPr>
            <w:tcW w:w="9360" w:type="dxa"/>
            <w:tcBorders>
              <w:left w:val="single" w:sz="24" w:space="0" w:color="35A29F"/>
            </w:tcBorders>
            <w:shd w:val="clear" w:color="auto" w:fill="F4F6F9"/>
          </w:tcPr>
          <w:p w14:paraId="37035DE0" w14:textId="77777777" w:rsidR="00AA4971" w:rsidRDefault="00000000">
            <w:pPr>
              <w:spacing w:before="120" w:after="120"/>
              <w:ind w:left="216" w:right="216"/>
            </w:pPr>
            <w:r>
              <w:rPr>
                <w:rFonts w:ascii="Courier New" w:hAnsi="Courier New"/>
                <w:b/>
                <w:color w:val="1A1A1A"/>
                <w:sz w:val="21"/>
              </w:rPr>
              <w:t>P(r, t) = E[ exp( - Integral_t_to_T( r_s * ds ) ) ]</w:t>
            </w:r>
          </w:p>
          <w:p w14:paraId="1735212F" w14:textId="77777777" w:rsidR="00AA4971" w:rsidRDefault="00000000">
            <w:pPr>
              <w:spacing w:before="80" w:after="120"/>
              <w:ind w:left="216"/>
            </w:pPr>
            <w:r>
              <w:rPr>
                <w:i/>
                <w:color w:val="555555"/>
                <w:sz w:val="19"/>
              </w:rPr>
              <w:t>The framework processes 30,000 parallel paths via synchronized Riemann integration steps to approximate the discount layer, maintaining optimal precision at the cost of sampling scalability.</w:t>
            </w:r>
          </w:p>
        </w:tc>
      </w:tr>
    </w:tbl>
    <w:p w14:paraId="745316D3" w14:textId="77777777" w:rsidR="00AA4971" w:rsidRDefault="00AA4971">
      <w:pPr>
        <w:spacing w:after="80"/>
      </w:pPr>
    </w:p>
    <w:p w14:paraId="329FA53F" w14:textId="77777777" w:rsidR="00AA4971" w:rsidRDefault="00000000">
      <w:pPr>
        <w:keepNext/>
        <w:spacing w:before="200" w:after="80"/>
      </w:pPr>
      <w:r>
        <w:rPr>
          <w:b/>
          <w:color w:val="35A29F"/>
          <w:sz w:val="26"/>
        </w:rPr>
        <w:t>3.3 Finite Difference Grid Solver</w:t>
      </w:r>
    </w:p>
    <w:p w14:paraId="319340D2" w14:textId="77777777" w:rsidR="00AA4971" w:rsidRDefault="00000000">
      <w:pPr>
        <w:spacing w:after="120"/>
      </w:pPr>
      <w:r>
        <w:t>The deterministic solution employs an implicit backward finite difference scheme to solve the term structure PDE backwards from maturity. Space-time grids are decoupled over a tridiagonal operator system, providing stable boundary convergence and guarding against structural grid explosions by performing direct matrix inversions at each backward time layer.</w:t>
      </w:r>
    </w:p>
    <w:p w14:paraId="792A9772" w14:textId="77777777" w:rsidR="00AA4971" w:rsidRDefault="00000000">
      <w:pPr>
        <w:keepNext/>
        <w:spacing w:before="200" w:after="80"/>
      </w:pPr>
      <w:r>
        <w:rPr>
          <w:b/>
          <w:color w:val="35A29F"/>
          <w:sz w:val="26"/>
        </w:rPr>
        <w:t>3.4 Standard Data-Driven ANN vs. Physics-Informed Neural Networks</w:t>
      </w:r>
    </w:p>
    <w:p w14:paraId="7200E47A" w14:textId="77777777" w:rsidR="00AA4971" w:rsidRDefault="00000000">
      <w:pPr>
        <w:spacing w:after="120"/>
      </w:pPr>
      <w:r>
        <w:t>Standard Neural Network: Optimized using pure localized data-driven Mean Squared Error (MSE). The network captures the functional mapping solely inside the narrow corridor [0.01, 0.07], displaying no inherent knowledge of underlying financial laws, asymptotic boundary rules, or rate drifts outside this region.</w:t>
      </w:r>
    </w:p>
    <w:p w14:paraId="274A0419" w14:textId="77777777" w:rsidR="00AA4971" w:rsidRDefault="00000000">
      <w:pPr>
        <w:spacing w:after="120"/>
      </w:pPr>
      <w:r>
        <w:t>Physics-Informed Neural Network (PINN): Enforces an optimized composite loss objective that bridges discrete sample regression with continuous space-time differential operators:</w:t>
      </w:r>
    </w:p>
    <w:tbl>
      <w:tblPr>
        <w:tblW w:w="0" w:type="auto"/>
        <w:jc w:val="center"/>
        <w:tblLook w:val="04A0" w:firstRow="1" w:lastRow="0" w:firstColumn="1" w:lastColumn="0" w:noHBand="0" w:noVBand="1"/>
      </w:tblPr>
      <w:tblGrid>
        <w:gridCol w:w="9330"/>
      </w:tblGrid>
      <w:tr w:rsidR="00AA4971" w14:paraId="0672C203" w14:textId="77777777">
        <w:trPr>
          <w:jc w:val="center"/>
        </w:trPr>
        <w:tc>
          <w:tcPr>
            <w:tcW w:w="9360" w:type="dxa"/>
            <w:tcBorders>
              <w:left w:val="single" w:sz="24" w:space="0" w:color="35A29F"/>
            </w:tcBorders>
            <w:shd w:val="clear" w:color="auto" w:fill="F4F6F9"/>
          </w:tcPr>
          <w:p w14:paraId="5D8BFC96" w14:textId="77777777" w:rsidR="00AA4971" w:rsidRDefault="00000000">
            <w:pPr>
              <w:spacing w:before="120" w:after="120"/>
              <w:ind w:left="216" w:right="216"/>
            </w:pPr>
            <w:r>
              <w:rPr>
                <w:rFonts w:ascii="Courier New" w:hAnsi="Courier New"/>
                <w:b/>
                <w:color w:val="1A1A1A"/>
                <w:sz w:val="21"/>
              </w:rPr>
              <w:t>Total_Loss = Loss_Data + w_pde * Loss_PDE_Residual + Loss_Terminal</w:t>
            </w:r>
          </w:p>
          <w:p w14:paraId="5E65E799" w14:textId="77777777" w:rsidR="00AA4971" w:rsidRDefault="00000000">
            <w:pPr>
              <w:spacing w:before="80" w:after="120"/>
              <w:ind w:left="216"/>
            </w:pPr>
            <w:r>
              <w:rPr>
                <w:i/>
                <w:color w:val="555555"/>
                <w:sz w:val="19"/>
              </w:rPr>
              <w:t xml:space="preserve">The PINN model leverages automatic differentiation (torch.autograd.grad) to compute higher-order space-time derivatives at thousands of unstructured global collocation points, penalizing structural violations of the Hull-White PDE residual. Furthermore, a custom Softplus terminal activation layer restricts pricing </w:t>
            </w:r>
            <w:r>
              <w:rPr>
                <w:i/>
                <w:color w:val="555555"/>
                <w:sz w:val="19"/>
              </w:rPr>
              <w:lastRenderedPageBreak/>
              <w:t>bounds to strictly non-negative values.</w:t>
            </w:r>
          </w:p>
        </w:tc>
      </w:tr>
    </w:tbl>
    <w:p w14:paraId="7B899001" w14:textId="77777777" w:rsidR="00AA4971" w:rsidRDefault="00AA4971">
      <w:pPr>
        <w:spacing w:after="80"/>
      </w:pPr>
    </w:p>
    <w:p w14:paraId="676668ED" w14:textId="77777777" w:rsidR="00AA4971" w:rsidRDefault="00000000">
      <w:pPr>
        <w:keepNext/>
        <w:spacing w:before="280" w:after="120"/>
      </w:pPr>
      <w:r>
        <w:rPr>
          <w:b/>
          <w:color w:val="102C57"/>
          <w:sz w:val="32"/>
        </w:rPr>
        <w:t>4. Performance Metrics &amp; Dimensional Scalability</w:t>
      </w:r>
    </w:p>
    <w:p w14:paraId="5ED441F5" w14:textId="77777777" w:rsidR="00AA4971" w:rsidRDefault="00000000">
      <w:pPr>
        <w:spacing w:after="120"/>
      </w:pPr>
      <w:r>
        <w:t>The quantitative comparative metrics highlight the structural scalability benefits of embedding term-structure PDE constraints directly into deep neural network processors:</w:t>
      </w:r>
    </w:p>
    <w:tbl>
      <w:tblPr>
        <w:tblW w:w="0" w:type="auto"/>
        <w:jc w:val="center"/>
        <w:tblLook w:val="04A0" w:firstRow="1" w:lastRow="0" w:firstColumn="1" w:lastColumn="0" w:noHBand="0" w:noVBand="1"/>
      </w:tblPr>
      <w:tblGrid>
        <w:gridCol w:w="3168"/>
        <w:gridCol w:w="1872"/>
        <w:gridCol w:w="2304"/>
        <w:gridCol w:w="2016"/>
      </w:tblGrid>
      <w:tr w:rsidR="00AA4971" w14:paraId="72251333" w14:textId="77777777">
        <w:trPr>
          <w:jc w:val="center"/>
        </w:trPr>
        <w:tc>
          <w:tcPr>
            <w:tcW w:w="3168" w:type="dxa"/>
            <w:shd w:val="clear" w:color="auto" w:fill="102C57"/>
          </w:tcPr>
          <w:p w14:paraId="0FF3497F" w14:textId="77777777" w:rsidR="00AA4971" w:rsidRDefault="00000000">
            <w:pPr>
              <w:jc w:val="center"/>
            </w:pPr>
            <w:r>
              <w:rPr>
                <w:b/>
                <w:color w:val="FFFFFF"/>
                <w:sz w:val="19"/>
              </w:rPr>
              <w:t>Pricing Methodology</w:t>
            </w:r>
          </w:p>
        </w:tc>
        <w:tc>
          <w:tcPr>
            <w:tcW w:w="1872" w:type="dxa"/>
            <w:shd w:val="clear" w:color="auto" w:fill="102C57"/>
          </w:tcPr>
          <w:p w14:paraId="0357396C" w14:textId="77777777" w:rsidR="00AA4971" w:rsidRDefault="00000000">
            <w:pPr>
              <w:jc w:val="center"/>
            </w:pPr>
            <w:r>
              <w:rPr>
                <w:b/>
                <w:color w:val="FFFFFF"/>
                <w:sz w:val="19"/>
              </w:rPr>
              <w:t>1D Comput. Speed</w:t>
            </w:r>
          </w:p>
        </w:tc>
        <w:tc>
          <w:tcPr>
            <w:tcW w:w="2304" w:type="dxa"/>
            <w:shd w:val="clear" w:color="auto" w:fill="102C57"/>
          </w:tcPr>
          <w:p w14:paraId="4442A51F" w14:textId="77777777" w:rsidR="00AA4971" w:rsidRDefault="00000000">
            <w:pPr>
              <w:jc w:val="center"/>
            </w:pPr>
            <w:r>
              <w:rPr>
                <w:b/>
                <w:color w:val="FFFFFF"/>
                <w:sz w:val="19"/>
              </w:rPr>
              <w:t>Extrapolation Generalization</w:t>
            </w:r>
          </w:p>
        </w:tc>
        <w:tc>
          <w:tcPr>
            <w:tcW w:w="2016" w:type="dxa"/>
            <w:shd w:val="clear" w:color="auto" w:fill="102C57"/>
          </w:tcPr>
          <w:p w14:paraId="4BC57BA4" w14:textId="77777777" w:rsidR="00AA4971" w:rsidRDefault="00000000">
            <w:pPr>
              <w:jc w:val="center"/>
            </w:pPr>
            <w:r>
              <w:rPr>
                <w:b/>
                <w:color w:val="FFFFFF"/>
                <w:sz w:val="19"/>
              </w:rPr>
              <w:t>Mathematical Constraints</w:t>
            </w:r>
          </w:p>
        </w:tc>
      </w:tr>
      <w:tr w:rsidR="00AA4971" w14:paraId="007A02C7" w14:textId="77777777">
        <w:trPr>
          <w:jc w:val="center"/>
        </w:trPr>
        <w:tc>
          <w:tcPr>
            <w:tcW w:w="3168" w:type="dxa"/>
            <w:shd w:val="clear" w:color="auto" w:fill="FFFFFF"/>
          </w:tcPr>
          <w:p w14:paraId="135E7674" w14:textId="77777777" w:rsidR="00AA4971" w:rsidRDefault="00000000">
            <w:pPr>
              <w:spacing w:before="80" w:after="80"/>
            </w:pPr>
            <w:r>
              <w:rPr>
                <w:b/>
                <w:sz w:val="18"/>
              </w:rPr>
              <w:t>Analytical Form</w:t>
            </w:r>
          </w:p>
        </w:tc>
        <w:tc>
          <w:tcPr>
            <w:tcW w:w="1872" w:type="dxa"/>
            <w:shd w:val="clear" w:color="auto" w:fill="FFFFFF"/>
          </w:tcPr>
          <w:p w14:paraId="29F2FB69" w14:textId="77777777" w:rsidR="00AA4971" w:rsidRDefault="00000000">
            <w:pPr>
              <w:spacing w:before="80" w:after="80"/>
              <w:jc w:val="center"/>
            </w:pPr>
            <w:r>
              <w:rPr>
                <w:sz w:val="18"/>
              </w:rPr>
              <w:t>Instantaneous (&lt;0.001s)</w:t>
            </w:r>
          </w:p>
        </w:tc>
        <w:tc>
          <w:tcPr>
            <w:tcW w:w="2304" w:type="dxa"/>
            <w:shd w:val="clear" w:color="auto" w:fill="FFFFFF"/>
          </w:tcPr>
          <w:p w14:paraId="69A3B89E" w14:textId="77777777" w:rsidR="00AA4971" w:rsidRDefault="00000000">
            <w:pPr>
              <w:spacing w:before="80" w:after="80"/>
              <w:jc w:val="center"/>
            </w:pPr>
            <w:r>
              <w:rPr>
                <w:sz w:val="18"/>
              </w:rPr>
              <w:t>Perfect (Exact Baseline)</w:t>
            </w:r>
          </w:p>
        </w:tc>
        <w:tc>
          <w:tcPr>
            <w:tcW w:w="2016" w:type="dxa"/>
            <w:shd w:val="clear" w:color="auto" w:fill="FFFFFF"/>
          </w:tcPr>
          <w:p w14:paraId="48EE7E8F" w14:textId="77777777" w:rsidR="00AA4971" w:rsidRDefault="00000000">
            <w:pPr>
              <w:spacing w:before="80" w:after="80"/>
              <w:jc w:val="center"/>
            </w:pPr>
            <w:r>
              <w:rPr>
                <w:sz w:val="18"/>
              </w:rPr>
              <w:t>Term Structure affine rule</w:t>
            </w:r>
          </w:p>
        </w:tc>
      </w:tr>
      <w:tr w:rsidR="00AA4971" w14:paraId="6F23EF09" w14:textId="77777777">
        <w:trPr>
          <w:jc w:val="center"/>
        </w:trPr>
        <w:tc>
          <w:tcPr>
            <w:tcW w:w="3168" w:type="dxa"/>
            <w:shd w:val="clear" w:color="auto" w:fill="F4F6F9"/>
          </w:tcPr>
          <w:p w14:paraId="63C94310" w14:textId="77777777" w:rsidR="00AA4971" w:rsidRDefault="00000000">
            <w:pPr>
              <w:spacing w:before="80" w:after="80"/>
            </w:pPr>
            <w:r>
              <w:rPr>
                <w:b/>
                <w:sz w:val="18"/>
              </w:rPr>
              <w:t>Implicit FD Grid Solver</w:t>
            </w:r>
          </w:p>
        </w:tc>
        <w:tc>
          <w:tcPr>
            <w:tcW w:w="1872" w:type="dxa"/>
            <w:shd w:val="clear" w:color="auto" w:fill="F4F6F9"/>
          </w:tcPr>
          <w:p w14:paraId="3B1EB48D" w14:textId="77777777" w:rsidR="00AA4971" w:rsidRDefault="00000000">
            <w:pPr>
              <w:spacing w:before="80" w:after="80"/>
              <w:jc w:val="center"/>
            </w:pPr>
            <w:r>
              <w:rPr>
                <w:sz w:val="18"/>
              </w:rPr>
              <w:t>Very Fast (~0.012s)</w:t>
            </w:r>
          </w:p>
        </w:tc>
        <w:tc>
          <w:tcPr>
            <w:tcW w:w="2304" w:type="dxa"/>
            <w:shd w:val="clear" w:color="auto" w:fill="F4F6F9"/>
          </w:tcPr>
          <w:p w14:paraId="24014E34" w14:textId="77777777" w:rsidR="00AA4971" w:rsidRDefault="00000000">
            <w:pPr>
              <w:spacing w:before="80" w:after="80"/>
              <w:jc w:val="center"/>
            </w:pPr>
            <w:r>
              <w:rPr>
                <w:sz w:val="18"/>
              </w:rPr>
              <w:t>Excellent (Grid Confined)</w:t>
            </w:r>
          </w:p>
        </w:tc>
        <w:tc>
          <w:tcPr>
            <w:tcW w:w="2016" w:type="dxa"/>
            <w:shd w:val="clear" w:color="auto" w:fill="F4F6F9"/>
          </w:tcPr>
          <w:p w14:paraId="6121F795" w14:textId="77777777" w:rsidR="00AA4971" w:rsidRDefault="00000000">
            <w:pPr>
              <w:spacing w:before="80" w:after="80"/>
              <w:jc w:val="center"/>
            </w:pPr>
            <w:r>
              <w:rPr>
                <w:sz w:val="18"/>
              </w:rPr>
              <w:t>Dirichlet/Asymptotic constraints</w:t>
            </w:r>
          </w:p>
        </w:tc>
      </w:tr>
      <w:tr w:rsidR="00AA4971" w14:paraId="5CE83E39" w14:textId="77777777">
        <w:trPr>
          <w:jc w:val="center"/>
        </w:trPr>
        <w:tc>
          <w:tcPr>
            <w:tcW w:w="3168" w:type="dxa"/>
            <w:shd w:val="clear" w:color="auto" w:fill="FFFFFF"/>
          </w:tcPr>
          <w:p w14:paraId="5096194A" w14:textId="77777777" w:rsidR="00AA4971" w:rsidRDefault="00000000">
            <w:pPr>
              <w:spacing w:before="80" w:after="80"/>
            </w:pPr>
            <w:r>
              <w:rPr>
                <w:b/>
                <w:sz w:val="18"/>
              </w:rPr>
              <w:t>Monte Carlo Simulation</w:t>
            </w:r>
          </w:p>
        </w:tc>
        <w:tc>
          <w:tcPr>
            <w:tcW w:w="1872" w:type="dxa"/>
            <w:shd w:val="clear" w:color="auto" w:fill="FFFFFF"/>
          </w:tcPr>
          <w:p w14:paraId="295510D0" w14:textId="77777777" w:rsidR="00AA4971" w:rsidRDefault="00000000">
            <w:pPr>
              <w:spacing w:before="80" w:after="80"/>
              <w:jc w:val="center"/>
            </w:pPr>
            <w:r>
              <w:rPr>
                <w:sz w:val="18"/>
              </w:rPr>
              <w:t>Moderate (~0.14s)</w:t>
            </w:r>
          </w:p>
        </w:tc>
        <w:tc>
          <w:tcPr>
            <w:tcW w:w="2304" w:type="dxa"/>
            <w:shd w:val="clear" w:color="auto" w:fill="FFFFFF"/>
          </w:tcPr>
          <w:p w14:paraId="3F72C8BD" w14:textId="77777777" w:rsidR="00AA4971" w:rsidRDefault="00000000">
            <w:pPr>
              <w:spacing w:before="80" w:after="80"/>
              <w:jc w:val="center"/>
            </w:pPr>
            <w:r>
              <w:rPr>
                <w:sz w:val="18"/>
              </w:rPr>
              <w:t>Excellent (Path Dependent)</w:t>
            </w:r>
          </w:p>
        </w:tc>
        <w:tc>
          <w:tcPr>
            <w:tcW w:w="2016" w:type="dxa"/>
            <w:shd w:val="clear" w:color="auto" w:fill="FFFFFF"/>
          </w:tcPr>
          <w:p w14:paraId="318BD7F2" w14:textId="77777777" w:rsidR="00AA4971" w:rsidRDefault="00000000">
            <w:pPr>
              <w:spacing w:before="80" w:after="80"/>
              <w:jc w:val="center"/>
            </w:pPr>
            <w:r>
              <w:rPr>
                <w:sz w:val="18"/>
              </w:rPr>
              <w:t>Expectation limits</w:t>
            </w:r>
          </w:p>
        </w:tc>
      </w:tr>
      <w:tr w:rsidR="00AA4971" w14:paraId="235D4FDA" w14:textId="77777777">
        <w:trPr>
          <w:jc w:val="center"/>
        </w:trPr>
        <w:tc>
          <w:tcPr>
            <w:tcW w:w="3168" w:type="dxa"/>
            <w:shd w:val="clear" w:color="auto" w:fill="F4F6F9"/>
          </w:tcPr>
          <w:p w14:paraId="54A7EC58" w14:textId="77777777" w:rsidR="00AA4971" w:rsidRDefault="00000000">
            <w:pPr>
              <w:spacing w:before="80" w:after="80"/>
            </w:pPr>
            <w:r>
              <w:rPr>
                <w:b/>
                <w:sz w:val="18"/>
              </w:rPr>
              <w:t>Standard ANN Data-Driven</w:t>
            </w:r>
          </w:p>
        </w:tc>
        <w:tc>
          <w:tcPr>
            <w:tcW w:w="1872" w:type="dxa"/>
            <w:shd w:val="clear" w:color="auto" w:fill="F4F6F9"/>
          </w:tcPr>
          <w:p w14:paraId="4922CB6D" w14:textId="77777777" w:rsidR="00AA4971" w:rsidRDefault="00000000">
            <w:pPr>
              <w:spacing w:before="80" w:after="80"/>
              <w:jc w:val="center"/>
            </w:pPr>
            <w:r>
              <w:rPr>
                <w:sz w:val="18"/>
              </w:rPr>
              <w:t>Instantaneous (&lt;0.001s)</w:t>
            </w:r>
          </w:p>
        </w:tc>
        <w:tc>
          <w:tcPr>
            <w:tcW w:w="2304" w:type="dxa"/>
            <w:shd w:val="clear" w:color="auto" w:fill="F4F6F9"/>
          </w:tcPr>
          <w:p w14:paraId="56E2FE2C" w14:textId="77777777" w:rsidR="00AA4971" w:rsidRDefault="00000000">
            <w:pPr>
              <w:spacing w:before="80" w:after="80"/>
              <w:jc w:val="center"/>
            </w:pPr>
            <w:r>
              <w:rPr>
                <w:sz w:val="18"/>
              </w:rPr>
              <w:t>Fails (Severe Out-of-Box Anomalies)</w:t>
            </w:r>
          </w:p>
        </w:tc>
        <w:tc>
          <w:tcPr>
            <w:tcW w:w="2016" w:type="dxa"/>
            <w:shd w:val="clear" w:color="auto" w:fill="F4F6F9"/>
          </w:tcPr>
          <w:p w14:paraId="5D3DB533" w14:textId="77777777" w:rsidR="00AA4971" w:rsidRDefault="00000000">
            <w:pPr>
              <w:spacing w:before="80" w:after="80"/>
              <w:jc w:val="center"/>
            </w:pPr>
            <w:r>
              <w:rPr>
                <w:sz w:val="18"/>
              </w:rPr>
              <w:t>None (Pure data interpolation)</w:t>
            </w:r>
          </w:p>
        </w:tc>
      </w:tr>
      <w:tr w:rsidR="00AA4971" w14:paraId="3CFE2672" w14:textId="77777777">
        <w:trPr>
          <w:jc w:val="center"/>
        </w:trPr>
        <w:tc>
          <w:tcPr>
            <w:tcW w:w="3168" w:type="dxa"/>
            <w:shd w:val="clear" w:color="auto" w:fill="FFFFFF"/>
          </w:tcPr>
          <w:p w14:paraId="4DCD2E5E" w14:textId="77777777" w:rsidR="00AA4971" w:rsidRDefault="00000000">
            <w:pPr>
              <w:spacing w:before="80" w:after="80"/>
            </w:pPr>
            <w:r>
              <w:rPr>
                <w:b/>
                <w:sz w:val="18"/>
              </w:rPr>
              <w:t>Physics-Informed PINN</w:t>
            </w:r>
          </w:p>
        </w:tc>
        <w:tc>
          <w:tcPr>
            <w:tcW w:w="1872" w:type="dxa"/>
            <w:shd w:val="clear" w:color="auto" w:fill="FFFFFF"/>
          </w:tcPr>
          <w:p w14:paraId="5378B3A0" w14:textId="77777777" w:rsidR="00AA4971" w:rsidRDefault="00000000">
            <w:pPr>
              <w:spacing w:before="80" w:after="80"/>
              <w:jc w:val="center"/>
            </w:pPr>
            <w:r>
              <w:rPr>
                <w:sz w:val="18"/>
              </w:rPr>
              <w:t>Instantaneous (&lt;0.001s)</w:t>
            </w:r>
          </w:p>
        </w:tc>
        <w:tc>
          <w:tcPr>
            <w:tcW w:w="2304" w:type="dxa"/>
            <w:shd w:val="clear" w:color="auto" w:fill="FFFFFF"/>
          </w:tcPr>
          <w:p w14:paraId="588FD50B" w14:textId="77777777" w:rsidR="00AA4971" w:rsidRDefault="00000000">
            <w:pPr>
              <w:spacing w:before="80" w:after="80"/>
              <w:jc w:val="center"/>
            </w:pPr>
            <w:r>
              <w:rPr>
                <w:sz w:val="18"/>
              </w:rPr>
              <w:t>Excellent (Stable Surfaces)</w:t>
            </w:r>
          </w:p>
        </w:tc>
        <w:tc>
          <w:tcPr>
            <w:tcW w:w="2016" w:type="dxa"/>
            <w:shd w:val="clear" w:color="auto" w:fill="FFFFFF"/>
          </w:tcPr>
          <w:p w14:paraId="20ECF19F" w14:textId="77777777" w:rsidR="00AA4971" w:rsidRDefault="00000000">
            <w:pPr>
              <w:spacing w:before="80" w:after="80"/>
              <w:jc w:val="center"/>
            </w:pPr>
            <w:r>
              <w:rPr>
                <w:sz w:val="18"/>
              </w:rPr>
              <w:t>Enforced Hull-White PDE operator</w:t>
            </w:r>
          </w:p>
        </w:tc>
      </w:tr>
    </w:tbl>
    <w:p w14:paraId="7D15BA67" w14:textId="77777777" w:rsidR="00AA4971" w:rsidRDefault="00AA4971">
      <w:pPr>
        <w:spacing w:after="240"/>
      </w:pPr>
    </w:p>
    <w:p w14:paraId="459CFD33" w14:textId="77777777" w:rsidR="00AA4971" w:rsidRDefault="00000000">
      <w:pPr>
        <w:spacing w:after="120"/>
      </w:pPr>
      <w:r>
        <w:t>While traditional grid solver meshes scale heavily with the introduction of further cross-derivative dimensions, neural processors maintain near-instantaneous execution times during evaluation (&lt;0.001s). By incorporating standard interest rate operators into the loss topology, the PINN framework eliminates the curse of dimensionality while strictly preserving financial non-negativity laws across the entire global extrapolation space.</w:t>
      </w:r>
    </w:p>
    <w:sectPr w:rsidR="00AA497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484704353">
    <w:abstractNumId w:val="8"/>
  </w:num>
  <w:num w:numId="2" w16cid:durableId="1538003976">
    <w:abstractNumId w:val="6"/>
  </w:num>
  <w:num w:numId="3" w16cid:durableId="327169881">
    <w:abstractNumId w:val="5"/>
  </w:num>
  <w:num w:numId="4" w16cid:durableId="2008941018">
    <w:abstractNumId w:val="4"/>
  </w:num>
  <w:num w:numId="5" w16cid:durableId="1910378688">
    <w:abstractNumId w:val="7"/>
  </w:num>
  <w:num w:numId="6" w16cid:durableId="1519005840">
    <w:abstractNumId w:val="3"/>
  </w:num>
  <w:num w:numId="7" w16cid:durableId="1528635694">
    <w:abstractNumId w:val="2"/>
  </w:num>
  <w:num w:numId="8" w16cid:durableId="1574660768">
    <w:abstractNumId w:val="1"/>
  </w:num>
  <w:num w:numId="9" w16cid:durableId="126701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9B8"/>
    <w:rsid w:val="0015074B"/>
    <w:rsid w:val="0029639D"/>
    <w:rsid w:val="00326F90"/>
    <w:rsid w:val="00AA1D8D"/>
    <w:rsid w:val="00AA4971"/>
    <w:rsid w:val="00B47730"/>
    <w:rsid w:val="00CB0664"/>
    <w:rsid w:val="00DC6D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77F7BD"/>
  <w14:defaultImageDpi w14:val="300"/>
  <w15:docId w15:val="{DFFE4531-FFE8-E841-BDEC-ED01365AB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782</Words>
  <Characters>5119</Characters>
  <Application>Microsoft Office Word</Application>
  <DocSecurity>0</DocSecurity>
  <Lines>119</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Pierre Moureaux</cp:lastModifiedBy>
  <cp:revision>2</cp:revision>
  <dcterms:created xsi:type="dcterms:W3CDTF">2026-10-23T15:08:00Z</dcterms:created>
  <dcterms:modified xsi:type="dcterms:W3CDTF">2026-10-23T15:08:00Z</dcterms:modified>
  <cp:category/>
</cp:coreProperties>
</file>