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F5C2A" w14:textId="77777777" w:rsidR="007E08BE" w:rsidRDefault="00000000">
      <w:pPr>
        <w:spacing w:before="240" w:after="40"/>
        <w:jc w:val="center"/>
      </w:pPr>
      <w:r>
        <w:rPr>
          <w:rFonts w:ascii="Calibri Light" w:hAnsi="Calibri Light"/>
          <w:b/>
          <w:color w:val="1B365D"/>
          <w:sz w:val="48"/>
        </w:rPr>
        <w:t>TECHNICAL NOTE: OPTION PRICING COMPREHENSIVE STUDY</w:t>
      </w:r>
    </w:p>
    <w:p w14:paraId="63AFB0CA" w14:textId="77777777" w:rsidR="007E08BE" w:rsidRDefault="00000000">
      <w:pPr>
        <w:spacing w:after="480"/>
        <w:jc w:val="center"/>
      </w:pPr>
      <w:r>
        <w:rPr>
          <w:rFonts w:ascii="Calibri" w:hAnsi="Calibri"/>
          <w:i/>
          <w:color w:val="4A5568"/>
          <w:sz w:val="24"/>
        </w:rPr>
        <w:t>Comparing Closed-Form, Monte Carlo, Finite Differences, and Physics-Informed Neural Networks (PINN)</w:t>
      </w:r>
    </w:p>
    <w:p w14:paraId="661E270C" w14:textId="77777777" w:rsidR="007E08BE" w:rsidRDefault="00000000">
      <w:pPr>
        <w:keepNext/>
        <w:spacing w:before="240" w:after="80"/>
      </w:pPr>
      <w:r>
        <w:rPr>
          <w:rFonts w:ascii="Calibri Light" w:hAnsi="Calibri Light"/>
          <w:b/>
          <w:color w:val="1B365D"/>
          <w:sz w:val="36"/>
        </w:rPr>
        <w:t>1. Executive Summary</w:t>
      </w:r>
    </w:p>
    <w:p w14:paraId="2DCCE641" w14:textId="77777777" w:rsidR="007E08BE" w:rsidRDefault="00000000">
      <w:pPr>
        <w:spacing w:after="120"/>
      </w:pPr>
      <w:r>
        <w:rPr>
          <w:rFonts w:ascii="Calibri" w:hAnsi="Calibri"/>
          <w:color w:val="2D3748"/>
        </w:rPr>
        <w:t>This technical note examines the performance, accuracy, and scaling behaviors of five option pricing models inside the Black-Scholes framework across 1D (Vanilla European Call) and 2D (Maximum Basket Call) environments. To rigorously assess empirical stability and boundary intelligence, data-driven machine learning models are trained on a restricted asset pricing corridor [80, 120] and evaluated on a broad extrapolation space [50, 150].</w:t>
      </w:r>
    </w:p>
    <w:p w14:paraId="28AA1EDC" w14:textId="77777777" w:rsidR="007E08BE" w:rsidRDefault="00000000">
      <w:pPr>
        <w:spacing w:after="120"/>
      </w:pPr>
      <w:r>
        <w:rPr>
          <w:rFonts w:ascii="Calibri" w:hAnsi="Calibri"/>
          <w:color w:val="2D3748"/>
        </w:rPr>
        <w:t>The quantitative benchmarks confirm that standard Deep Learning architectures generalize poorly and generate severe mathematical anomalies outside their explicit sampling zone. Conversely, Physics-Informed Neural Networks (PINNs) exhibit robust extrapolation properties by embedding spatial differential operators and asymptotic boundary conditions directly inside the gradient optimization objective.</w:t>
      </w:r>
    </w:p>
    <w:p w14:paraId="216EB032" w14:textId="77777777" w:rsidR="007E08BE" w:rsidRDefault="00000000">
      <w:pPr>
        <w:keepNext/>
        <w:spacing w:before="240" w:after="80"/>
      </w:pPr>
      <w:r>
        <w:rPr>
          <w:rFonts w:ascii="Calibri Light" w:hAnsi="Calibri Light"/>
          <w:b/>
          <w:color w:val="1B365D"/>
          <w:sz w:val="36"/>
        </w:rPr>
        <w:t>2. Theoretical Framework &amp; Option Payoffs</w:t>
      </w:r>
    </w:p>
    <w:p w14:paraId="2E6A3293" w14:textId="77777777" w:rsidR="007E08BE" w:rsidRDefault="00000000">
      <w:pPr>
        <w:spacing w:after="120"/>
      </w:pPr>
      <w:r>
        <w:rPr>
          <w:rFonts w:ascii="Calibri" w:hAnsi="Calibri"/>
          <w:color w:val="2D3748"/>
        </w:rPr>
        <w:t>The risk-neutral asset dynamics follow a classic Geometric Brownian Motion (GBM) governed by the stochastic differential equation:</w:t>
      </w:r>
    </w:p>
    <w:p w14:paraId="3B230506" w14:textId="77777777" w:rsidR="007E08BE" w:rsidRDefault="00000000">
      <w:pPr>
        <w:pBdr>
          <w:left w:val="single" w:sz="24" w:space="8" w:color="1B365D"/>
        </w:pBdr>
        <w:shd w:val="clear" w:color="auto" w:fill="F7FAFC"/>
        <w:spacing w:before="120" w:after="160"/>
        <w:ind w:left="288" w:right="288"/>
      </w:pPr>
      <w:r>
        <w:rPr>
          <w:rFonts w:ascii="Consolas" w:hAnsi="Consolas"/>
          <w:b/>
          <w:color w:val="1B365D"/>
          <w:sz w:val="21"/>
        </w:rPr>
        <w:t>dS_i(t) = r * S_i(t) * dt + sigma_i * S_i(t) * dW_i(t)</w:t>
      </w:r>
    </w:p>
    <w:p w14:paraId="498485EE" w14:textId="77777777" w:rsidR="007E08BE" w:rsidRDefault="00000000">
      <w:pPr>
        <w:spacing w:after="120"/>
      </w:pPr>
      <w:r>
        <w:rPr>
          <w:rFonts w:ascii="Calibri" w:hAnsi="Calibri"/>
          <w:color w:val="2D3748"/>
        </w:rPr>
        <w:t>Where r is the risk-free rate, sigma_i is the constant volatility asset parameter, and dW_i represents standard Brownian increments with a cross-asset correlation element defined as:</w:t>
      </w:r>
    </w:p>
    <w:p w14:paraId="7C12D1A0" w14:textId="77777777" w:rsidR="007E08BE" w:rsidRDefault="00000000">
      <w:pPr>
        <w:pBdr>
          <w:left w:val="single" w:sz="24" w:space="8" w:color="1B365D"/>
        </w:pBdr>
        <w:shd w:val="clear" w:color="auto" w:fill="F7FAFC"/>
        <w:spacing w:before="120" w:after="160"/>
        <w:ind w:left="288" w:right="288"/>
      </w:pPr>
      <w:r>
        <w:rPr>
          <w:rFonts w:ascii="Consolas" w:hAnsi="Consolas"/>
          <w:b/>
          <w:color w:val="1B365D"/>
          <w:sz w:val="21"/>
        </w:rPr>
        <w:t>E[dW_1(t) * dW_2(t)] = rho * dt  (where rho = 0.3)</w:t>
      </w:r>
    </w:p>
    <w:p w14:paraId="7900E2FA" w14:textId="77777777" w:rsidR="007E08BE" w:rsidRDefault="00000000">
      <w:pPr>
        <w:keepNext/>
        <w:spacing w:before="240" w:after="80"/>
      </w:pPr>
      <w:r>
        <w:rPr>
          <w:rFonts w:ascii="Calibri" w:hAnsi="Calibri"/>
          <w:b/>
          <w:color w:val="4A5568"/>
          <w:sz w:val="28"/>
        </w:rPr>
        <w:t>2.1 1D Vanilla European Call Option</w:t>
      </w:r>
    </w:p>
    <w:p w14:paraId="32109AC4" w14:textId="77777777" w:rsidR="007E08BE" w:rsidRDefault="00000000">
      <w:pPr>
        <w:spacing w:after="120"/>
      </w:pPr>
      <w:r>
        <w:rPr>
          <w:rFonts w:ascii="Calibri" w:hAnsi="Calibri"/>
          <w:color w:val="2D3748"/>
        </w:rPr>
        <w:t>The terminal payoff at maturity date (t = T) for the standard single-asset vanilla contract is bounded by:</w:t>
      </w:r>
    </w:p>
    <w:p w14:paraId="420E141D" w14:textId="77777777" w:rsidR="007E08BE" w:rsidRDefault="00000000">
      <w:pPr>
        <w:pBdr>
          <w:left w:val="single" w:sz="24" w:space="8" w:color="1B365D"/>
        </w:pBdr>
        <w:shd w:val="clear" w:color="auto" w:fill="F7FAFC"/>
        <w:spacing w:before="120" w:after="160"/>
        <w:ind w:left="288" w:right="288"/>
      </w:pPr>
      <w:r>
        <w:rPr>
          <w:rFonts w:ascii="Consolas" w:hAnsi="Consolas"/>
          <w:b/>
          <w:color w:val="1B365D"/>
          <w:sz w:val="21"/>
        </w:rPr>
        <w:t>Payoff_1D = max(S - K, 0)</w:t>
      </w:r>
    </w:p>
    <w:p w14:paraId="31267E3E" w14:textId="77777777" w:rsidR="007E08BE" w:rsidRDefault="00000000">
      <w:pPr>
        <w:keepNext/>
        <w:spacing w:before="240" w:after="80"/>
      </w:pPr>
      <w:r>
        <w:rPr>
          <w:rFonts w:ascii="Calibri" w:hAnsi="Calibri"/>
          <w:b/>
          <w:color w:val="4A5568"/>
          <w:sz w:val="28"/>
        </w:rPr>
        <w:t>2.2 2D Maximum Basket Call Option</w:t>
      </w:r>
    </w:p>
    <w:p w14:paraId="2CC5E4F8" w14:textId="77777777" w:rsidR="007E08BE" w:rsidRDefault="00000000">
      <w:pPr>
        <w:spacing w:after="120"/>
      </w:pPr>
      <w:r>
        <w:rPr>
          <w:rFonts w:ascii="Calibri" w:hAnsi="Calibri"/>
          <w:color w:val="2D3748"/>
        </w:rPr>
        <w:t>The multi-asset contingent claim behaves as an outperformance option, where the holder receives a payout tied exclusively to the maximum terminal price reached between two correlated assets:</w:t>
      </w:r>
    </w:p>
    <w:p w14:paraId="3EEDCCC5" w14:textId="77777777" w:rsidR="007E08BE" w:rsidRDefault="00000000">
      <w:pPr>
        <w:pBdr>
          <w:left w:val="single" w:sz="24" w:space="8" w:color="1B365D"/>
        </w:pBdr>
        <w:shd w:val="clear" w:color="auto" w:fill="F7FAFC"/>
        <w:spacing w:before="120" w:after="160"/>
        <w:ind w:left="288" w:right="288"/>
      </w:pPr>
      <w:r>
        <w:rPr>
          <w:rFonts w:ascii="Consolas" w:hAnsi="Consolas"/>
          <w:b/>
          <w:color w:val="1B365D"/>
          <w:sz w:val="21"/>
        </w:rPr>
        <w:t>Payoff_2D = max(max(S_1, S_2) - K, 0)</w:t>
      </w:r>
    </w:p>
    <w:p w14:paraId="43D570C4" w14:textId="77777777" w:rsidR="007E08BE" w:rsidRDefault="00000000">
      <w:pPr>
        <w:keepNext/>
        <w:spacing w:before="240" w:after="80"/>
      </w:pPr>
      <w:r>
        <w:rPr>
          <w:rFonts w:ascii="Calibri Light" w:hAnsi="Calibri Light"/>
          <w:b/>
          <w:color w:val="1B365D"/>
          <w:sz w:val="36"/>
        </w:rPr>
        <w:lastRenderedPageBreak/>
        <w:t>3. Model Implementation Profiles</w:t>
      </w:r>
    </w:p>
    <w:p w14:paraId="6E53E8D1" w14:textId="77777777" w:rsidR="007E08BE" w:rsidRDefault="00000000">
      <w:pPr>
        <w:keepNext/>
        <w:spacing w:before="240" w:after="80"/>
      </w:pPr>
      <w:r>
        <w:rPr>
          <w:rFonts w:ascii="Calibri" w:hAnsi="Calibri"/>
          <w:b/>
          <w:color w:val="4A5568"/>
          <w:sz w:val="28"/>
        </w:rPr>
        <w:t>3.1 Analytical Closed-Form and Vectorized Monte Carlo</w:t>
      </w:r>
    </w:p>
    <w:p w14:paraId="24177D0F" w14:textId="77777777" w:rsidR="007E08BE" w:rsidRDefault="00000000">
      <w:pPr>
        <w:pStyle w:val="Listepuces"/>
        <w:spacing w:after="60"/>
      </w:pPr>
      <w:r>
        <w:rPr>
          <w:rFonts w:ascii="Calibri" w:hAnsi="Calibri"/>
          <w:b/>
          <w:color w:val="2D3748"/>
        </w:rPr>
        <w:t xml:space="preserve">Closed-Form Equation: </w:t>
      </w:r>
      <w:r>
        <w:rPr>
          <w:rFonts w:ascii="Calibri" w:hAnsi="Calibri"/>
          <w:color w:val="2D3748"/>
        </w:rPr>
        <w:t>provides the absolute exact benchmark profile used to calculate relative errors across the 1D test suite.</w:t>
      </w:r>
    </w:p>
    <w:p w14:paraId="342567EA" w14:textId="77777777" w:rsidR="007E08BE" w:rsidRDefault="00000000">
      <w:pPr>
        <w:pStyle w:val="Listepuces"/>
        <w:spacing w:after="60"/>
      </w:pPr>
      <w:r>
        <w:rPr>
          <w:rFonts w:ascii="Calibri" w:hAnsi="Calibri"/>
          <w:b/>
          <w:color w:val="2D3748"/>
        </w:rPr>
        <w:t xml:space="preserve">Vectorized Monte Carlo Simulator: </w:t>
      </w:r>
      <w:r>
        <w:rPr>
          <w:rFonts w:ascii="Calibri" w:hAnsi="Calibri"/>
          <w:color w:val="2D3748"/>
        </w:rPr>
        <w:t>implements a Cholesky matrix decomposition to correlate random trajectories. The framework processes 40,000 multi-asset parallel paths point-by-point, acting as the mathematical truth parameter for the multi-asset 2D framework.</w:t>
      </w:r>
    </w:p>
    <w:p w14:paraId="1A105014" w14:textId="77777777" w:rsidR="007E08BE" w:rsidRDefault="00000000">
      <w:pPr>
        <w:keepNext/>
        <w:spacing w:before="240" w:after="80"/>
      </w:pPr>
      <w:r>
        <w:rPr>
          <w:rFonts w:ascii="Calibri" w:hAnsi="Calibri"/>
          <w:b/>
          <w:color w:val="4A5568"/>
          <w:sz w:val="28"/>
        </w:rPr>
        <w:t>3.2 Finite Difference Method (PDE solver)</w:t>
      </w:r>
    </w:p>
    <w:p w14:paraId="7EDCE175" w14:textId="77777777" w:rsidR="007E08BE" w:rsidRDefault="00000000">
      <w:pPr>
        <w:spacing w:after="120"/>
      </w:pPr>
      <w:r>
        <w:rPr>
          <w:rFonts w:ascii="Calibri" w:hAnsi="Calibri"/>
          <w:color w:val="2D3748"/>
        </w:rPr>
        <w:t>The deterministic partial differential equations are solved backwards in time starting from the maturity boundary conditions. The 2D multi-asset pricing surface is governed by the following second-order parabolic PDE:</w:t>
      </w:r>
    </w:p>
    <w:p w14:paraId="7AC24FAB" w14:textId="77777777" w:rsidR="007E08BE" w:rsidRDefault="00000000">
      <w:pPr>
        <w:pBdr>
          <w:left w:val="single" w:sz="24" w:space="8" w:color="1B365D"/>
        </w:pBdr>
        <w:shd w:val="clear" w:color="auto" w:fill="F7FAFC"/>
        <w:spacing w:before="120" w:after="160"/>
        <w:ind w:left="288" w:right="288"/>
      </w:pPr>
      <w:r>
        <w:rPr>
          <w:rFonts w:ascii="Consolas" w:hAnsi="Consolas"/>
          <w:b/>
          <w:color w:val="1B365D"/>
          <w:sz w:val="21"/>
        </w:rPr>
        <w:t>dC/dt + r*S_1*dC/dS_1 + r*S_2*dC/dS_2 + 0.5*(sigma_1^2)*(S_1^2)*(d^2C/dS_1^2) +</w:t>
      </w:r>
      <w:r>
        <w:rPr>
          <w:rFonts w:ascii="Consolas" w:hAnsi="Consolas"/>
          <w:b/>
          <w:color w:val="1B365D"/>
          <w:sz w:val="21"/>
        </w:rPr>
        <w:br/>
        <w:t>0.5*(sigma_2^2)*(S_2^2)*(d^2C/dS_2^2) + rho*sigma_1*sigma_2*S_1*S_2*(d^2C/dS_1dS_2) = r*C</w:t>
      </w:r>
    </w:p>
    <w:p w14:paraId="0B77513B" w14:textId="77777777" w:rsidR="007E08BE" w:rsidRDefault="00000000">
      <w:pPr>
        <w:spacing w:after="120"/>
      </w:pPr>
      <w:r>
        <w:rPr>
          <w:rFonts w:ascii="Calibri" w:hAnsi="Calibri"/>
          <w:color w:val="2D3748"/>
        </w:rPr>
        <w:t>Because an explicit space-time mesh update is used to decouple cross-derivative components without running expensive global matrix inversions, the grid becomes highly constrained by the Courant-Friedrichs-Lewy (CFL) numerical stability criteria:</w:t>
      </w:r>
    </w:p>
    <w:p w14:paraId="7B73EC84" w14:textId="77777777" w:rsidR="007E08BE" w:rsidRDefault="00000000">
      <w:pPr>
        <w:pBdr>
          <w:left w:val="single" w:sz="24" w:space="8" w:color="1B365D"/>
        </w:pBdr>
        <w:shd w:val="clear" w:color="auto" w:fill="F7FAFC"/>
        <w:spacing w:before="120" w:after="160"/>
        <w:ind w:left="288" w:right="288"/>
      </w:pPr>
      <w:r>
        <w:rPr>
          <w:rFonts w:ascii="Consolas" w:hAnsi="Consolas"/>
          <w:b/>
          <w:color w:val="1B365D"/>
          <w:sz w:val="21"/>
        </w:rPr>
        <w:t>dt &lt;= 1 / [ (sigma_1^2 * S_max^2)/dS^2 + (sigma_2^2 * S_max^2)/dS^2 + r ]</w:t>
      </w:r>
    </w:p>
    <w:p w14:paraId="29458AFA" w14:textId="77777777" w:rsidR="007E08BE" w:rsidRDefault="00000000">
      <w:pPr>
        <w:spacing w:after="120"/>
      </w:pPr>
      <w:r>
        <w:rPr>
          <w:rFonts w:ascii="Calibri" w:hAnsi="Calibri"/>
          <w:color w:val="2D3748"/>
        </w:rPr>
        <w:t>To achieve numerical convergence in the 2D domain and prevent immediate exponential mathematical explosion, the time discretization mesh parameter must be scaled extensively, forcing the script to run 2,500 backward iterations for a basic 40x40 spatial grid.</w:t>
      </w:r>
    </w:p>
    <w:p w14:paraId="6BF1586F" w14:textId="77777777" w:rsidR="007E08BE" w:rsidRDefault="00000000">
      <w:pPr>
        <w:keepNext/>
        <w:spacing w:before="240" w:after="80"/>
      </w:pPr>
      <w:r>
        <w:rPr>
          <w:rFonts w:ascii="Calibri" w:hAnsi="Calibri"/>
          <w:b/>
          <w:color w:val="4A5568"/>
          <w:sz w:val="28"/>
        </w:rPr>
        <w:t>3.3 Standard Deep Learning vs. Physics-Informed Neural Networks</w:t>
      </w:r>
    </w:p>
    <w:p w14:paraId="24DA7C55" w14:textId="77777777" w:rsidR="007E08BE" w:rsidRDefault="00000000">
      <w:pPr>
        <w:pStyle w:val="Listepuces"/>
        <w:spacing w:after="60"/>
      </w:pPr>
      <w:r>
        <w:rPr>
          <w:rFonts w:ascii="Calibri" w:hAnsi="Calibri"/>
          <w:b/>
          <w:color w:val="2D3748"/>
        </w:rPr>
        <w:t xml:space="preserve">Standard Neural Network: </w:t>
      </w:r>
      <w:r>
        <w:rPr>
          <w:rFonts w:ascii="Calibri" w:hAnsi="Calibri"/>
          <w:color w:val="2D3748"/>
        </w:rPr>
        <w:t>Optimized using standard data-driven Mean Squared Error (MSE). The network learns only the statistical correlation inside the localized yellow zone [80, 120], without any knowledge of derivative physics or financial boundary mechanics.</w:t>
      </w:r>
    </w:p>
    <w:p w14:paraId="6CE092D5" w14:textId="77777777" w:rsidR="007E08BE" w:rsidRDefault="00000000">
      <w:pPr>
        <w:pStyle w:val="Listepuces"/>
        <w:spacing w:after="60"/>
      </w:pPr>
      <w:r>
        <w:rPr>
          <w:rFonts w:ascii="Calibri" w:hAnsi="Calibri"/>
          <w:b/>
          <w:color w:val="2D3748"/>
        </w:rPr>
        <w:t xml:space="preserve">Physics-Informed Neural Network (PINN): </w:t>
      </w:r>
      <w:r>
        <w:rPr>
          <w:rFonts w:ascii="Calibri" w:hAnsi="Calibri"/>
          <w:color w:val="2D3748"/>
        </w:rPr>
        <w:t>Employs an optimized structural soft-attention loss function. The training objective embeds structural constraints across the entire global extrapolation domain [50, 150], formulated as follows:</w:t>
      </w:r>
    </w:p>
    <w:p w14:paraId="7E6DD9EE" w14:textId="77777777" w:rsidR="007E08BE" w:rsidRDefault="00000000">
      <w:pPr>
        <w:pBdr>
          <w:left w:val="single" w:sz="24" w:space="8" w:color="1B365D"/>
        </w:pBdr>
        <w:shd w:val="clear" w:color="auto" w:fill="F7FAFC"/>
        <w:spacing w:before="120" w:after="160"/>
        <w:ind w:left="288" w:right="288"/>
      </w:pPr>
      <w:r>
        <w:rPr>
          <w:rFonts w:ascii="Consolas" w:hAnsi="Consolas"/>
          <w:b/>
          <w:color w:val="1B365D"/>
          <w:sz w:val="21"/>
        </w:rPr>
        <w:t>Total_Loss = 1.5 * Loss_Data + 0.02 * Loss_PDE_Residual + 1.2 * Loss_Terminal</w:t>
      </w:r>
    </w:p>
    <w:p w14:paraId="574E7685" w14:textId="77777777" w:rsidR="007E08BE" w:rsidRDefault="00000000">
      <w:pPr>
        <w:spacing w:after="120"/>
      </w:pPr>
      <w:r>
        <w:rPr>
          <w:rFonts w:ascii="Calibri" w:hAnsi="Calibri"/>
          <w:color w:val="2D3748"/>
        </w:rPr>
        <w:t>The PDE residual loss component utilizes PyTorch's automatic differentiation engine (torch.autograd.grad) to calculate exact higher-order partial derivatives at thousands of unstructured global collocation coordinates. Furthermore, inputs are strictly normalized by the Strike parameter (S/K) to ensure stable optimization paths.</w:t>
      </w:r>
    </w:p>
    <w:p w14:paraId="7825BE47" w14:textId="77777777" w:rsidR="007E08BE" w:rsidRDefault="00000000">
      <w:pPr>
        <w:keepNext/>
        <w:spacing w:before="240" w:after="80"/>
      </w:pPr>
      <w:r>
        <w:rPr>
          <w:rFonts w:ascii="Calibri Light" w:hAnsi="Calibri Light"/>
          <w:b/>
          <w:color w:val="1B365D"/>
          <w:sz w:val="36"/>
        </w:rPr>
        <w:lastRenderedPageBreak/>
        <w:t>4. Critical Comparative Insights</w:t>
      </w:r>
    </w:p>
    <w:p w14:paraId="5B01B48F" w14:textId="77777777" w:rsidR="007E08BE" w:rsidRDefault="00000000">
      <w:pPr>
        <w:keepNext/>
        <w:spacing w:before="240" w:after="80"/>
      </w:pPr>
      <w:r>
        <w:rPr>
          <w:rFonts w:ascii="Calibri" w:hAnsi="Calibri"/>
          <w:b/>
          <w:color w:val="4A5568"/>
          <w:sz w:val="28"/>
        </w:rPr>
        <w:t>4.1 Extrapolation Breakdown and Structural Overfitting</w:t>
      </w:r>
    </w:p>
    <w:p w14:paraId="6B78BB12" w14:textId="77777777" w:rsidR="007E08BE" w:rsidRDefault="00000000">
      <w:pPr>
        <w:spacing w:after="120"/>
      </w:pPr>
      <w:r>
        <w:rPr>
          <w:rFonts w:ascii="Calibri" w:hAnsi="Calibri"/>
          <w:color w:val="2D3748"/>
        </w:rPr>
        <w:t>Outside the yellow training corridor, the standard data-driven network breaks down immediately. For low asset values (S = 50), it generates illegal negative pricing values (reaching roughly -12.0) because it lacks structural awareness of the lower asset boundary condition where option prices must asymptotically decay to zero. In contrast, the PINN architecture perfectly matches the theoretical pricing curve because its internal network parameters are structurally penalized whenever they violate the Black-Scholes PDE operator or the terminal maturity state.</w:t>
      </w:r>
    </w:p>
    <w:p w14:paraId="11AD9BAD" w14:textId="77777777" w:rsidR="007E08BE" w:rsidRDefault="00000000">
      <w:pPr>
        <w:keepNext/>
        <w:spacing w:before="240" w:after="80"/>
      </w:pPr>
      <w:r>
        <w:rPr>
          <w:rFonts w:ascii="Calibri" w:hAnsi="Calibri"/>
          <w:b/>
          <w:color w:val="4A5568"/>
          <w:sz w:val="28"/>
        </w:rPr>
        <w:t>4.2 The Curse of Dimensionality</w:t>
      </w:r>
    </w:p>
    <w:p w14:paraId="4C39F22C" w14:textId="77777777" w:rsidR="007E08BE" w:rsidRDefault="00000000">
      <w:pPr>
        <w:spacing w:after="120"/>
      </w:pPr>
      <w:r>
        <w:rPr>
          <w:rFonts w:ascii="Calibri" w:hAnsi="Calibri"/>
          <w:color w:val="2D3748"/>
        </w:rPr>
        <w:t>The comparative performance metrics emphasize the structural scalability differences between deterministic grids and neural network architectures:</w:t>
      </w:r>
    </w:p>
    <w:tbl>
      <w:tblPr>
        <w:tblStyle w:val="Trameclaire-Accent1"/>
        <w:tblW w:w="0" w:type="auto"/>
        <w:jc w:val="center"/>
        <w:tblLook w:val="04A0" w:firstRow="1" w:lastRow="0" w:firstColumn="1" w:lastColumn="0" w:noHBand="0" w:noVBand="1"/>
      </w:tblPr>
      <w:tblGrid>
        <w:gridCol w:w="2340"/>
        <w:gridCol w:w="2340"/>
        <w:gridCol w:w="2340"/>
        <w:gridCol w:w="2340"/>
      </w:tblGrid>
      <w:tr w:rsidR="007E08BE" w14:paraId="775772C0" w14:textId="77777777" w:rsidTr="007E08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1B365D"/>
          </w:tcPr>
          <w:p w14:paraId="660C4FE8" w14:textId="77777777" w:rsidR="007E08BE" w:rsidRDefault="00000000">
            <w:r>
              <w:rPr>
                <w:rFonts w:ascii="Calibri" w:hAnsi="Calibri"/>
                <w:color w:val="FFFFFF"/>
              </w:rPr>
              <w:t>Pricing Methodology</w:t>
            </w:r>
          </w:p>
        </w:tc>
        <w:tc>
          <w:tcPr>
            <w:tcW w:w="2340" w:type="dxa"/>
            <w:shd w:val="clear" w:color="auto" w:fill="1B365D"/>
          </w:tcPr>
          <w:p w14:paraId="016273E4" w14:textId="77777777" w:rsidR="007E08B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color w:val="FFFFFF"/>
              </w:rPr>
              <w:t>1D Computational Speed</w:t>
            </w:r>
          </w:p>
        </w:tc>
        <w:tc>
          <w:tcPr>
            <w:tcW w:w="2340" w:type="dxa"/>
            <w:shd w:val="clear" w:color="auto" w:fill="1B365D"/>
          </w:tcPr>
          <w:p w14:paraId="3904A7ED" w14:textId="77777777" w:rsidR="007E08B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color w:val="FFFFFF"/>
              </w:rPr>
              <w:t>2D Computational Speed</w:t>
            </w:r>
          </w:p>
        </w:tc>
        <w:tc>
          <w:tcPr>
            <w:tcW w:w="2340" w:type="dxa"/>
            <w:shd w:val="clear" w:color="auto" w:fill="1B365D"/>
          </w:tcPr>
          <w:p w14:paraId="02AB0E7D" w14:textId="77777777" w:rsidR="007E08BE"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color w:val="FFFFFF"/>
              </w:rPr>
              <w:t>Dimensional Scaling Flaw</w:t>
            </w:r>
          </w:p>
        </w:tc>
      </w:tr>
      <w:tr w:rsidR="007E08BE" w14:paraId="0318979C" w14:textId="77777777" w:rsidTr="007E0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0DA296F" w14:textId="77777777" w:rsidR="007E08BE" w:rsidRDefault="00000000">
            <w:pPr>
              <w:spacing w:before="60" w:after="60"/>
            </w:pPr>
            <w:r>
              <w:rPr>
                <w:rFonts w:ascii="Calibri" w:hAnsi="Calibri"/>
                <w:b w:val="0"/>
                <w:color w:val="2D3748"/>
              </w:rPr>
              <w:t>Analytical / Monte Carlo</w:t>
            </w:r>
          </w:p>
        </w:tc>
        <w:tc>
          <w:tcPr>
            <w:tcW w:w="2340" w:type="dxa"/>
          </w:tcPr>
          <w:p w14:paraId="7C74777D" w14:textId="77777777" w:rsidR="007E08BE"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Calibri" w:hAnsi="Calibri"/>
                <w:color w:val="2D3748"/>
              </w:rPr>
              <w:t>Instantaneous (&lt;0.001s)</w:t>
            </w:r>
          </w:p>
        </w:tc>
        <w:tc>
          <w:tcPr>
            <w:tcW w:w="2340" w:type="dxa"/>
          </w:tcPr>
          <w:p w14:paraId="1B18F378" w14:textId="77777777" w:rsidR="007E08BE"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Calibri" w:hAnsi="Calibri"/>
                <w:color w:val="2D3748"/>
              </w:rPr>
              <w:t>Moderate (~0.15s)</w:t>
            </w:r>
          </w:p>
        </w:tc>
        <w:tc>
          <w:tcPr>
            <w:tcW w:w="2340" w:type="dxa"/>
          </w:tcPr>
          <w:p w14:paraId="2740FC37" w14:textId="77777777" w:rsidR="007E08BE"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Calibri" w:hAnsi="Calibri"/>
                <w:color w:val="2D3748"/>
              </w:rPr>
              <w:t>Path dependency scales linearly with sims.</w:t>
            </w:r>
          </w:p>
        </w:tc>
      </w:tr>
      <w:tr w:rsidR="007E08BE" w14:paraId="238A391B" w14:textId="77777777" w:rsidTr="007E08BE">
        <w:trPr>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7FAFC"/>
          </w:tcPr>
          <w:p w14:paraId="617CF60A" w14:textId="77777777" w:rsidR="007E08BE" w:rsidRDefault="00000000">
            <w:pPr>
              <w:spacing w:before="60" w:after="60"/>
            </w:pPr>
            <w:r>
              <w:rPr>
                <w:rFonts w:ascii="Calibri" w:hAnsi="Calibri"/>
                <w:b w:val="0"/>
                <w:color w:val="2D3748"/>
              </w:rPr>
              <w:t>Finite Differences (PDE)</w:t>
            </w:r>
          </w:p>
        </w:tc>
        <w:tc>
          <w:tcPr>
            <w:tcW w:w="2340" w:type="dxa"/>
            <w:shd w:val="clear" w:color="auto" w:fill="F7FAFC"/>
          </w:tcPr>
          <w:p w14:paraId="11F7CA96" w14:textId="77777777" w:rsidR="007E08BE"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Calibri" w:hAnsi="Calibri"/>
                <w:color w:val="2D3748"/>
              </w:rPr>
              <w:t>Very Fast (~0.005s)</w:t>
            </w:r>
          </w:p>
        </w:tc>
        <w:tc>
          <w:tcPr>
            <w:tcW w:w="2340" w:type="dxa"/>
            <w:shd w:val="clear" w:color="auto" w:fill="F7FAFC"/>
          </w:tcPr>
          <w:p w14:paraId="6A2384A7" w14:textId="77777777" w:rsidR="007E08BE"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Calibri" w:hAnsi="Calibri"/>
                <w:color w:val="2D3748"/>
              </w:rPr>
              <w:t>Extremely Slow (~2.2s)</w:t>
            </w:r>
          </w:p>
        </w:tc>
        <w:tc>
          <w:tcPr>
            <w:tcW w:w="2340" w:type="dxa"/>
            <w:shd w:val="clear" w:color="auto" w:fill="F7FAFC"/>
          </w:tcPr>
          <w:p w14:paraId="6FA4E24B" w14:textId="77777777" w:rsidR="007E08BE"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Calibri" w:hAnsi="Calibri"/>
                <w:color w:val="2D3748"/>
              </w:rPr>
              <w:t>Explodes quadratically (CFL grid confinement).</w:t>
            </w:r>
          </w:p>
        </w:tc>
      </w:tr>
      <w:tr w:rsidR="007E08BE" w14:paraId="7609855C" w14:textId="77777777" w:rsidTr="007E0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8BD7CD4" w14:textId="77777777" w:rsidR="007E08BE" w:rsidRDefault="00000000">
            <w:pPr>
              <w:spacing w:before="60" w:after="60"/>
            </w:pPr>
            <w:r>
              <w:rPr>
                <w:rFonts w:ascii="Calibri" w:hAnsi="Calibri"/>
                <w:b w:val="0"/>
                <w:color w:val="2D3748"/>
              </w:rPr>
              <w:t>Standard Neural Network</w:t>
            </w:r>
          </w:p>
        </w:tc>
        <w:tc>
          <w:tcPr>
            <w:tcW w:w="2340" w:type="dxa"/>
          </w:tcPr>
          <w:p w14:paraId="686A9772" w14:textId="77777777" w:rsidR="007E08BE"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Calibri" w:hAnsi="Calibri"/>
                <w:color w:val="2D3748"/>
              </w:rPr>
              <w:t>Instantaneous (Inference)</w:t>
            </w:r>
          </w:p>
        </w:tc>
        <w:tc>
          <w:tcPr>
            <w:tcW w:w="2340" w:type="dxa"/>
          </w:tcPr>
          <w:p w14:paraId="5C40E6B9" w14:textId="77777777" w:rsidR="007E08BE"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Calibri" w:hAnsi="Calibri"/>
                <w:color w:val="2D3748"/>
              </w:rPr>
              <w:t>Instantaneous (Inference)</w:t>
            </w:r>
          </w:p>
        </w:tc>
        <w:tc>
          <w:tcPr>
            <w:tcW w:w="2340" w:type="dxa"/>
          </w:tcPr>
          <w:p w14:paraId="40E04024" w14:textId="77777777" w:rsidR="007E08BE" w:rsidRDefault="00000000">
            <w:pPr>
              <w:spacing w:before="60" w:after="60"/>
              <w:cnfStyle w:val="000000100000" w:firstRow="0" w:lastRow="0" w:firstColumn="0" w:lastColumn="0" w:oddVBand="0" w:evenVBand="0" w:oddHBand="1" w:evenHBand="0" w:firstRowFirstColumn="0" w:firstRowLastColumn="0" w:lastRowFirstColumn="0" w:lastRowLastColumn="0"/>
            </w:pPr>
            <w:r>
              <w:rPr>
                <w:rFonts w:ascii="Calibri" w:hAnsi="Calibri"/>
                <w:color w:val="2D3748"/>
              </w:rPr>
              <w:t>Fails entirely outside localized data box.</w:t>
            </w:r>
          </w:p>
        </w:tc>
      </w:tr>
      <w:tr w:rsidR="007E08BE" w14:paraId="5E6F8284" w14:textId="77777777" w:rsidTr="007E08BE">
        <w:trPr>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7FAFC"/>
          </w:tcPr>
          <w:p w14:paraId="664E03EB" w14:textId="77777777" w:rsidR="007E08BE" w:rsidRDefault="00000000">
            <w:pPr>
              <w:spacing w:before="60" w:after="60"/>
            </w:pPr>
            <w:r>
              <w:rPr>
                <w:rFonts w:ascii="Calibri" w:hAnsi="Calibri"/>
                <w:b w:val="0"/>
                <w:color w:val="2D3748"/>
              </w:rPr>
              <w:t>PINN (Physics-Informed)</w:t>
            </w:r>
          </w:p>
        </w:tc>
        <w:tc>
          <w:tcPr>
            <w:tcW w:w="2340" w:type="dxa"/>
            <w:shd w:val="clear" w:color="auto" w:fill="F7FAFC"/>
          </w:tcPr>
          <w:p w14:paraId="59F944FB" w14:textId="77777777" w:rsidR="007E08BE"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Calibri" w:hAnsi="Calibri"/>
                <w:color w:val="2D3748"/>
              </w:rPr>
              <w:t>Instantaneous (Inference)</w:t>
            </w:r>
          </w:p>
        </w:tc>
        <w:tc>
          <w:tcPr>
            <w:tcW w:w="2340" w:type="dxa"/>
            <w:shd w:val="clear" w:color="auto" w:fill="F7FAFC"/>
          </w:tcPr>
          <w:p w14:paraId="4AD83FA1" w14:textId="77777777" w:rsidR="007E08BE"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Calibri" w:hAnsi="Calibri"/>
                <w:color w:val="2D3748"/>
              </w:rPr>
              <w:t>Instantaneous (Inference)</w:t>
            </w:r>
          </w:p>
        </w:tc>
        <w:tc>
          <w:tcPr>
            <w:tcW w:w="2340" w:type="dxa"/>
            <w:shd w:val="clear" w:color="auto" w:fill="F7FAFC"/>
          </w:tcPr>
          <w:p w14:paraId="650DD349" w14:textId="77777777" w:rsidR="007E08BE" w:rsidRDefault="00000000">
            <w:pPr>
              <w:spacing w:before="60" w:after="60"/>
              <w:cnfStyle w:val="000000000000" w:firstRow="0" w:lastRow="0" w:firstColumn="0" w:lastColumn="0" w:oddVBand="0" w:evenVBand="0" w:oddHBand="0" w:evenHBand="0" w:firstRowFirstColumn="0" w:firstRowLastColumn="0" w:lastRowFirstColumn="0" w:lastRowLastColumn="0"/>
            </w:pPr>
            <w:r>
              <w:rPr>
                <w:rFonts w:ascii="Calibri" w:hAnsi="Calibri"/>
                <w:color w:val="2D3748"/>
              </w:rPr>
              <w:t>Slightly complex offline training phase.</w:t>
            </w:r>
          </w:p>
        </w:tc>
      </w:tr>
    </w:tbl>
    <w:p w14:paraId="76EEEA7A" w14:textId="77777777" w:rsidR="007E08BE" w:rsidRDefault="007E08BE">
      <w:pPr>
        <w:spacing w:after="120"/>
      </w:pPr>
    </w:p>
    <w:p w14:paraId="46A63312" w14:textId="77777777" w:rsidR="007E08BE" w:rsidRDefault="00000000">
      <w:pPr>
        <w:spacing w:after="120"/>
      </w:pPr>
      <w:r>
        <w:rPr>
          <w:rFonts w:ascii="Calibri" w:hAnsi="Calibri"/>
          <w:color w:val="2D3748"/>
        </w:rPr>
        <w:t>While the Finite Difference grid experiences an exponential increase in computation time (exploding by orders of magnitude from 1D to 2D due to matrix cross-derivative operations and strict CFL stability limits), Neural Network architectures maintain an almost instantaneous, constant-time inference phase (&lt;0.001s). This makes PINNs exceptionally well-suited for high-dimensional derivative pricing, effectively circumventing the classic curse of dimensionality while preserving rigorous mathematical precision.</w:t>
      </w:r>
    </w:p>
    <w:sectPr w:rsidR="007E08B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69636432">
    <w:abstractNumId w:val="8"/>
  </w:num>
  <w:num w:numId="2" w16cid:durableId="35127920">
    <w:abstractNumId w:val="6"/>
  </w:num>
  <w:num w:numId="3" w16cid:durableId="70086324">
    <w:abstractNumId w:val="5"/>
  </w:num>
  <w:num w:numId="4" w16cid:durableId="1747845327">
    <w:abstractNumId w:val="4"/>
  </w:num>
  <w:num w:numId="5" w16cid:durableId="644624432">
    <w:abstractNumId w:val="7"/>
  </w:num>
  <w:num w:numId="6" w16cid:durableId="1009143140">
    <w:abstractNumId w:val="3"/>
  </w:num>
  <w:num w:numId="7" w16cid:durableId="230315135">
    <w:abstractNumId w:val="2"/>
  </w:num>
  <w:num w:numId="8" w16cid:durableId="776602506">
    <w:abstractNumId w:val="1"/>
  </w:num>
  <w:num w:numId="9" w16cid:durableId="192055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9B8"/>
    <w:rsid w:val="0015074B"/>
    <w:rsid w:val="0029639D"/>
    <w:rsid w:val="00326F90"/>
    <w:rsid w:val="007E08BE"/>
    <w:rsid w:val="00AA1D8D"/>
    <w:rsid w:val="00AB065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BBDAD"/>
  <w14:defaultImageDpi w14:val="300"/>
  <w15:docId w15:val="{DFFE4531-FFE8-E841-BDEC-ED01365AB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818</Words>
  <Characters>5446</Characters>
  <Application>Microsoft Office Word</Application>
  <DocSecurity>0</DocSecurity>
  <Lines>118</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Pierre Moureaux</cp:lastModifiedBy>
  <cp:revision>2</cp:revision>
  <dcterms:created xsi:type="dcterms:W3CDTF">2026-10-23T08:04:00Z</dcterms:created>
  <dcterms:modified xsi:type="dcterms:W3CDTF">2026-10-23T08:04:00Z</dcterms:modified>
  <cp:category/>
</cp:coreProperties>
</file>