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C6248" w14:textId="77777777" w:rsidR="00F15E73" w:rsidRDefault="00000000">
      <w:pPr>
        <w:spacing w:before="400" w:after="160"/>
        <w:jc w:val="center"/>
      </w:pPr>
      <w:r>
        <w:rPr>
          <w:b/>
          <w:color w:val="102C57"/>
          <w:sz w:val="36"/>
        </w:rPr>
        <w:t>TECHNICAL NOTE: QUANTITATIVE OPTION PRICING COMPREHENSIVE STUDY</w:t>
      </w:r>
      <w:r>
        <w:rPr>
          <w:b/>
          <w:color w:val="102C57"/>
          <w:sz w:val="36"/>
        </w:rPr>
        <w:br/>
      </w:r>
      <w:r>
        <w:rPr>
          <w:i/>
          <w:color w:val="35A29F"/>
        </w:rPr>
        <w:t>Heston Stochastic Volatility Framework via Fourier Inversion, Monte Carlo Full Truncation, and Physics-Informed Neural Networks (PINN)</w:t>
      </w:r>
    </w:p>
    <w:p w14:paraId="3B93335B" w14:textId="77777777" w:rsidR="00F15E73" w:rsidRDefault="00000000">
      <w:pPr>
        <w:keepNext/>
        <w:spacing w:before="360"/>
      </w:pPr>
      <w:r>
        <w:rPr>
          <w:b/>
          <w:color w:val="102C57"/>
          <w:sz w:val="30"/>
        </w:rPr>
        <w:t>1. Executive Summary</w:t>
      </w:r>
    </w:p>
    <w:p w14:paraId="192603AD" w14:textId="77777777" w:rsidR="00F15E73" w:rsidRDefault="00000000">
      <w:r>
        <w:t>This technical report provides an exhaustive benchmark study of derivative valuation workflows within the Heston Stochastic Volatility paradigm. To evaluate empirical generalization and boundary intelligence, deep learning architectures are trained on a narrow asset corridors [80, 120] and strictly evaluated across a wider, challenging out-of-sample extrapolation spectrum [50, 150].</w:t>
      </w:r>
    </w:p>
    <w:p w14:paraId="6267C09D" w14:textId="77777777" w:rsidR="00F15E73" w:rsidRDefault="00000000">
      <w:r>
        <w:t>The results confirm that classic data-driven networks generalize poorly, generating severe mathematical anomalies such as negative option values outside their explicit sampling zone. Conversely, Physics-Informed Neural Networks (PINNs) demonstrate robust extrapolation properties. By embedding the underlying spatial partial differential equations and terminal parameters directly inside the gradient optimization objective, PINNs enforce continuous arbitrage-free pricing constraints and exact boundary mechanics.</w:t>
      </w:r>
    </w:p>
    <w:p w14:paraId="41552CCA" w14:textId="77777777" w:rsidR="00F15E73" w:rsidRDefault="00000000">
      <w:pPr>
        <w:keepNext/>
        <w:spacing w:before="360"/>
      </w:pPr>
      <w:r>
        <w:rPr>
          <w:b/>
          <w:color w:val="102C57"/>
          <w:sz w:val="30"/>
        </w:rPr>
        <w:t>2. Theoretical Framework &amp; Asset Dynamics</w:t>
      </w:r>
    </w:p>
    <w:p w14:paraId="7BA40E7B" w14:textId="77777777" w:rsidR="00F15E73" w:rsidRDefault="00000000">
      <w:r>
        <w:t>Unlike standard Black-Scholes dynamics assuming a fixed local volatility parameter, the Heston model splits market movements into a coupled stochastic system governing the underlying asset alongside its independent variance process:</w:t>
      </w:r>
    </w:p>
    <w:tbl>
      <w:tblPr>
        <w:tblW w:w="0" w:type="auto"/>
        <w:jc w:val="center"/>
        <w:tblLayout w:type="fixed"/>
        <w:tblLook w:val="04A0" w:firstRow="1" w:lastRow="0" w:firstColumn="1" w:lastColumn="0" w:noHBand="0" w:noVBand="1"/>
      </w:tblPr>
      <w:tblGrid>
        <w:gridCol w:w="9360"/>
      </w:tblGrid>
      <w:tr w:rsidR="00F15E73" w14:paraId="60F4093E" w14:textId="77777777">
        <w:trPr>
          <w:jc w:val="center"/>
        </w:trPr>
        <w:tc>
          <w:tcPr>
            <w:tcW w:w="9360" w:type="dxa"/>
            <w:tcBorders>
              <w:left w:val="single" w:sz="24" w:space="0" w:color="35A29F"/>
            </w:tcBorders>
            <w:shd w:val="clear" w:color="auto" w:fill="F4F6F9"/>
          </w:tcPr>
          <w:p w14:paraId="5FCC815D" w14:textId="77777777" w:rsidR="00F15E73" w:rsidRDefault="00000000">
            <w:pPr>
              <w:spacing w:before="160" w:after="80"/>
              <w:jc w:val="center"/>
            </w:pPr>
            <w:r>
              <w:rPr>
                <w:rFonts w:ascii="Courier New" w:hAnsi="Courier New"/>
                <w:b/>
                <w:color w:val="102C57"/>
                <w:sz w:val="21"/>
              </w:rPr>
              <w:t>dS(t) = r * S(t) * dt + sqrt(V(t)) * S(t) * dW_S(t)</w:t>
            </w:r>
            <w:r>
              <w:rPr>
                <w:rFonts w:ascii="Courier New" w:hAnsi="Courier New"/>
                <w:b/>
                <w:color w:val="102C57"/>
                <w:sz w:val="21"/>
              </w:rPr>
              <w:br/>
              <w:t>dV(t) = kappa * (theta - V(t)) * dt + sigma_v * sqrt(V(t)) * dW_V(t)</w:t>
            </w:r>
          </w:p>
          <w:p w14:paraId="438BB037" w14:textId="77777777" w:rsidR="00F15E73" w:rsidRDefault="00000000">
            <w:pPr>
              <w:spacing w:before="40" w:after="160"/>
              <w:ind w:left="288"/>
            </w:pPr>
            <w:r>
              <w:rPr>
                <w:i/>
                <w:color w:val="646464"/>
                <w:sz w:val="19"/>
              </w:rPr>
              <w:t>Where:</w:t>
            </w:r>
            <w:r>
              <w:rPr>
                <w:i/>
                <w:color w:val="646464"/>
                <w:sz w:val="19"/>
              </w:rPr>
              <w:br/>
              <w:t>r        = Risk-free interest rate constant.</w:t>
            </w:r>
            <w:r>
              <w:rPr>
                <w:i/>
                <w:color w:val="646464"/>
                <w:sz w:val="19"/>
              </w:rPr>
              <w:br/>
              <w:t>kappa    = Rate of mean-reversion speed for the variance process.</w:t>
            </w:r>
            <w:r>
              <w:rPr>
                <w:i/>
                <w:color w:val="646464"/>
                <w:sz w:val="19"/>
              </w:rPr>
              <w:br/>
              <w:t>theta    = Long-term variance equilibrium mean level.</w:t>
            </w:r>
            <w:r>
              <w:rPr>
                <w:i/>
                <w:color w:val="646464"/>
                <w:sz w:val="19"/>
              </w:rPr>
              <w:br/>
              <w:t>sigma_v  = Volatility of variance ('vol-of-vol' parameter).</w:t>
            </w:r>
            <w:r>
              <w:rPr>
                <w:i/>
                <w:color w:val="646464"/>
                <w:sz w:val="19"/>
              </w:rPr>
              <w:br/>
              <w:t>dW_S, dW_V = Brownian paths sharing an asset-variance correlation coefficient: E[dW_S(t) * dW_V(t)] = rho * dt</w:t>
            </w:r>
          </w:p>
        </w:tc>
      </w:tr>
    </w:tbl>
    <w:p w14:paraId="0D137282" w14:textId="77777777" w:rsidR="00F15E73" w:rsidRDefault="00F15E73">
      <w:pPr>
        <w:spacing w:after="80"/>
      </w:pPr>
    </w:p>
    <w:p w14:paraId="3E1C96AE" w14:textId="77777777" w:rsidR="00F15E73" w:rsidRDefault="00000000">
      <w:pPr>
        <w:keepNext/>
        <w:spacing w:before="280" w:after="80"/>
      </w:pPr>
      <w:r>
        <w:rPr>
          <w:b/>
          <w:color w:val="35A29F"/>
          <w:sz w:val="24"/>
        </w:rPr>
        <w:t>2.1 1D Vanilla European Call Option Payoff</w:t>
      </w:r>
    </w:p>
    <w:p w14:paraId="69CD668D" w14:textId="77777777" w:rsidR="00F15E73" w:rsidRDefault="00000000">
      <w:r>
        <w:t>The terminal pricing value at maturity (t = T) for the single-underlying contract is bounded by:</w:t>
      </w:r>
    </w:p>
    <w:tbl>
      <w:tblPr>
        <w:tblW w:w="0" w:type="auto"/>
        <w:jc w:val="center"/>
        <w:tblLayout w:type="fixed"/>
        <w:tblLook w:val="04A0" w:firstRow="1" w:lastRow="0" w:firstColumn="1" w:lastColumn="0" w:noHBand="0" w:noVBand="1"/>
      </w:tblPr>
      <w:tblGrid>
        <w:gridCol w:w="9360"/>
      </w:tblGrid>
      <w:tr w:rsidR="00F15E73" w14:paraId="575861A4" w14:textId="77777777">
        <w:trPr>
          <w:jc w:val="center"/>
        </w:trPr>
        <w:tc>
          <w:tcPr>
            <w:tcW w:w="9360" w:type="dxa"/>
            <w:tcBorders>
              <w:left w:val="single" w:sz="24" w:space="0" w:color="35A29F"/>
            </w:tcBorders>
            <w:shd w:val="clear" w:color="auto" w:fill="F4F6F9"/>
          </w:tcPr>
          <w:p w14:paraId="07E42B28" w14:textId="77777777" w:rsidR="00F15E73" w:rsidRDefault="00000000">
            <w:pPr>
              <w:spacing w:before="160" w:after="160"/>
              <w:jc w:val="center"/>
            </w:pPr>
            <w:r>
              <w:rPr>
                <w:rFonts w:ascii="Courier New" w:hAnsi="Courier New"/>
                <w:b/>
                <w:color w:val="102C57"/>
                <w:sz w:val="21"/>
              </w:rPr>
              <w:t>Payoff_1D = max(S - K, 0)</w:t>
            </w:r>
          </w:p>
        </w:tc>
      </w:tr>
    </w:tbl>
    <w:p w14:paraId="74A6AEAF" w14:textId="77777777" w:rsidR="00F15E73" w:rsidRDefault="00F15E73">
      <w:pPr>
        <w:spacing w:after="80"/>
      </w:pPr>
    </w:p>
    <w:p w14:paraId="3988752C" w14:textId="77777777" w:rsidR="00F15E73" w:rsidRDefault="00000000">
      <w:pPr>
        <w:keepNext/>
        <w:spacing w:before="280" w:after="80"/>
      </w:pPr>
      <w:r>
        <w:rPr>
          <w:b/>
          <w:color w:val="35A29F"/>
          <w:sz w:val="24"/>
        </w:rPr>
        <w:lastRenderedPageBreak/>
        <w:t>2.2 2D Maximum Basket Call Option Payoff</w:t>
      </w:r>
    </w:p>
    <w:p w14:paraId="4303EDBA" w14:textId="77777777" w:rsidR="00F15E73" w:rsidRDefault="00000000">
      <w:r>
        <w:t>The multi-asset derivative claim is formulated as a basket outperformance option, delivering a terminal payout tied explicitly to the maximum price reached between two correlated asset paths:</w:t>
      </w:r>
    </w:p>
    <w:tbl>
      <w:tblPr>
        <w:tblW w:w="0" w:type="auto"/>
        <w:jc w:val="center"/>
        <w:tblLayout w:type="fixed"/>
        <w:tblLook w:val="04A0" w:firstRow="1" w:lastRow="0" w:firstColumn="1" w:lastColumn="0" w:noHBand="0" w:noVBand="1"/>
      </w:tblPr>
      <w:tblGrid>
        <w:gridCol w:w="9360"/>
      </w:tblGrid>
      <w:tr w:rsidR="00F15E73" w14:paraId="5DECDAFA" w14:textId="77777777">
        <w:trPr>
          <w:jc w:val="center"/>
        </w:trPr>
        <w:tc>
          <w:tcPr>
            <w:tcW w:w="9360" w:type="dxa"/>
            <w:tcBorders>
              <w:left w:val="single" w:sz="24" w:space="0" w:color="35A29F"/>
            </w:tcBorders>
            <w:shd w:val="clear" w:color="auto" w:fill="F4F6F9"/>
          </w:tcPr>
          <w:p w14:paraId="08C3E31F" w14:textId="77777777" w:rsidR="00F15E73" w:rsidRDefault="00000000">
            <w:pPr>
              <w:spacing w:before="160" w:after="160"/>
              <w:jc w:val="center"/>
            </w:pPr>
            <w:r>
              <w:rPr>
                <w:rFonts w:ascii="Courier New" w:hAnsi="Courier New"/>
                <w:b/>
                <w:color w:val="102C57"/>
                <w:sz w:val="21"/>
              </w:rPr>
              <w:t>Payoff_2D = max(max(S_1, S_2) - K, 0)</w:t>
            </w:r>
          </w:p>
        </w:tc>
      </w:tr>
    </w:tbl>
    <w:p w14:paraId="629983EE" w14:textId="77777777" w:rsidR="00F15E73" w:rsidRDefault="00F15E73">
      <w:pPr>
        <w:spacing w:after="80"/>
      </w:pPr>
    </w:p>
    <w:p w14:paraId="36673CDE" w14:textId="77777777" w:rsidR="00F15E73" w:rsidRDefault="00000000">
      <w:pPr>
        <w:keepNext/>
        <w:spacing w:before="360"/>
      </w:pPr>
      <w:r>
        <w:rPr>
          <w:b/>
          <w:color w:val="102C57"/>
          <w:sz w:val="30"/>
        </w:rPr>
        <w:t>3. Numerical Methodology Profiles</w:t>
      </w:r>
    </w:p>
    <w:p w14:paraId="3196F0B5" w14:textId="77777777" w:rsidR="00F15E73" w:rsidRDefault="00000000">
      <w:pPr>
        <w:keepNext/>
        <w:spacing w:before="280" w:after="80"/>
      </w:pPr>
      <w:r>
        <w:rPr>
          <w:b/>
          <w:color w:val="35A29F"/>
          <w:sz w:val="24"/>
        </w:rPr>
        <w:t>3.1 1D Closed-Form Solution: Characteristic Function Fourier Inversion</w:t>
      </w:r>
    </w:p>
    <w:p w14:paraId="069D245A" w14:textId="77777777" w:rsidR="00F15E73" w:rsidRDefault="00000000">
      <w:r>
        <w:t>The single-asset true reference curve is resolved using the inversion technique established by Heston (1993). The approach extracts completion probabilities P_1 and P_2 by integrating characteristic functions along the complex plane, utilizing the stable multi-branch logarithmic formulation of Albrecher/Gatheral to handle branch cuts seamlessly:</w:t>
      </w:r>
    </w:p>
    <w:tbl>
      <w:tblPr>
        <w:tblW w:w="0" w:type="auto"/>
        <w:jc w:val="center"/>
        <w:tblLayout w:type="fixed"/>
        <w:tblLook w:val="04A0" w:firstRow="1" w:lastRow="0" w:firstColumn="1" w:lastColumn="0" w:noHBand="0" w:noVBand="1"/>
      </w:tblPr>
      <w:tblGrid>
        <w:gridCol w:w="9360"/>
      </w:tblGrid>
      <w:tr w:rsidR="00F15E73" w14:paraId="4127DD60" w14:textId="77777777">
        <w:trPr>
          <w:jc w:val="center"/>
        </w:trPr>
        <w:tc>
          <w:tcPr>
            <w:tcW w:w="9360" w:type="dxa"/>
            <w:tcBorders>
              <w:left w:val="single" w:sz="24" w:space="0" w:color="35A29F"/>
            </w:tcBorders>
            <w:shd w:val="clear" w:color="auto" w:fill="F4F6F9"/>
          </w:tcPr>
          <w:p w14:paraId="558846F1" w14:textId="77777777" w:rsidR="00F15E73" w:rsidRDefault="00000000">
            <w:pPr>
              <w:spacing w:before="160" w:after="80"/>
              <w:jc w:val="center"/>
            </w:pPr>
            <w:r>
              <w:rPr>
                <w:rFonts w:ascii="Courier New" w:hAnsi="Courier New"/>
                <w:b/>
                <w:color w:val="102C57"/>
                <w:sz w:val="21"/>
              </w:rPr>
              <w:t>Price_1D = S * P_1 - K * exp(-r * (T - t)) * P_2</w:t>
            </w:r>
            <w:r>
              <w:rPr>
                <w:rFonts w:ascii="Courier New" w:hAnsi="Courier New"/>
                <w:b/>
                <w:color w:val="102C57"/>
                <w:sz w:val="21"/>
              </w:rPr>
              <w:br/>
            </w:r>
            <w:r>
              <w:rPr>
                <w:rFonts w:ascii="Courier New" w:hAnsi="Courier New"/>
                <w:b/>
                <w:color w:val="102C57"/>
                <w:sz w:val="21"/>
              </w:rPr>
              <w:br/>
              <w:t>P_j = 0.5 + (1 / pi) * Integral_0_to_inf( Real[ exp(-i*u*ln(K)) * f_j(u, S, V, t) / (i*u) ] * du )</w:t>
            </w:r>
          </w:p>
          <w:p w14:paraId="681678DE" w14:textId="77777777" w:rsidR="00F15E73" w:rsidRDefault="00000000">
            <w:pPr>
              <w:spacing w:before="40" w:after="160"/>
              <w:ind w:left="288"/>
            </w:pPr>
            <w:r>
              <w:rPr>
                <w:i/>
                <w:color w:val="646464"/>
                <w:sz w:val="19"/>
              </w:rPr>
              <w:t>Where f_j represents the specific multi-branch complex characteristic functions.</w:t>
            </w:r>
          </w:p>
        </w:tc>
      </w:tr>
    </w:tbl>
    <w:p w14:paraId="316487F7" w14:textId="77777777" w:rsidR="00F15E73" w:rsidRDefault="00F15E73">
      <w:pPr>
        <w:spacing w:after="80"/>
      </w:pPr>
    </w:p>
    <w:p w14:paraId="78C0CB45" w14:textId="77777777" w:rsidR="00F15E73" w:rsidRDefault="00000000">
      <w:pPr>
        <w:keepNext/>
        <w:spacing w:before="280" w:after="80"/>
      </w:pPr>
      <w:r>
        <w:rPr>
          <w:b/>
          <w:color w:val="35A29F"/>
          <w:sz w:val="24"/>
        </w:rPr>
        <w:t>3.2 2D Multi-Asset Target Baseline: Full-Truncation Monte Carlo</w:t>
      </w:r>
    </w:p>
    <w:p w14:paraId="17430D48" w14:textId="77777777" w:rsidR="00F15E73" w:rsidRDefault="00000000">
      <w:r>
        <w:t>To simulate the multi-dimensional basket without generating negative variance anomalies from discrete simulation steps, the benchmark relies on a Full-Truncation Monte Carlo scheme. Correlated multi-asset Brownian motions are generated via a Cholesky matrix decomposition mapping asset-to-asset (rho_assets) and variance-to-variance (rho_vars) intersections:</w:t>
      </w:r>
    </w:p>
    <w:tbl>
      <w:tblPr>
        <w:tblW w:w="0" w:type="auto"/>
        <w:jc w:val="center"/>
        <w:tblLayout w:type="fixed"/>
        <w:tblLook w:val="04A0" w:firstRow="1" w:lastRow="0" w:firstColumn="1" w:lastColumn="0" w:noHBand="0" w:noVBand="1"/>
      </w:tblPr>
      <w:tblGrid>
        <w:gridCol w:w="9360"/>
      </w:tblGrid>
      <w:tr w:rsidR="00F15E73" w14:paraId="2D426483" w14:textId="77777777">
        <w:trPr>
          <w:jc w:val="center"/>
        </w:trPr>
        <w:tc>
          <w:tcPr>
            <w:tcW w:w="9360" w:type="dxa"/>
            <w:tcBorders>
              <w:left w:val="single" w:sz="24" w:space="0" w:color="35A29F"/>
            </w:tcBorders>
            <w:shd w:val="clear" w:color="auto" w:fill="F4F6F9"/>
          </w:tcPr>
          <w:p w14:paraId="02613656" w14:textId="77777777" w:rsidR="00F15E73" w:rsidRDefault="00000000">
            <w:pPr>
              <w:spacing w:before="160" w:after="80"/>
              <w:jc w:val="center"/>
            </w:pPr>
            <w:r>
              <w:rPr>
                <w:rFonts w:ascii="Courier New" w:hAnsi="Courier New"/>
                <w:b/>
                <w:color w:val="102C57"/>
                <w:sz w:val="21"/>
              </w:rPr>
              <w:t>V_pos = max(V, 0)</w:t>
            </w:r>
            <w:r>
              <w:rPr>
                <w:rFonts w:ascii="Courier New" w:hAnsi="Courier New"/>
                <w:b/>
                <w:color w:val="102C57"/>
                <w:sz w:val="21"/>
              </w:rPr>
              <w:br/>
              <w:t>S(t+dt) = S(t) * exp( (r - 0.5 * V_pos) * dt + sqrt(V_pos * dt) * Z_S )</w:t>
            </w:r>
            <w:r>
              <w:rPr>
                <w:rFonts w:ascii="Courier New" w:hAnsi="Courier New"/>
                <w:b/>
                <w:color w:val="102C57"/>
                <w:sz w:val="21"/>
              </w:rPr>
              <w:br/>
              <w:t>V(t+dt) = V(t) + kappa * (theta - V_pos) * dt + sigma_v * sqrt(V_pos * dt) * Z_V</w:t>
            </w:r>
          </w:p>
          <w:p w14:paraId="666E370A" w14:textId="77777777" w:rsidR="00F15E73" w:rsidRDefault="00000000">
            <w:pPr>
              <w:spacing w:before="40" w:after="160"/>
              <w:ind w:left="288"/>
            </w:pPr>
            <w:r>
              <w:rPr>
                <w:i/>
                <w:color w:val="646464"/>
                <w:sz w:val="19"/>
              </w:rPr>
              <w:t>Where Z_S and Z_V represent correlated Gaussian random perturbations drawn from the Cholesky slice.</w:t>
            </w:r>
          </w:p>
        </w:tc>
      </w:tr>
    </w:tbl>
    <w:p w14:paraId="6716B2F4" w14:textId="77777777" w:rsidR="00F15E73" w:rsidRDefault="00F15E73">
      <w:pPr>
        <w:spacing w:after="80"/>
      </w:pPr>
    </w:p>
    <w:p w14:paraId="6CDC31C6" w14:textId="77777777" w:rsidR="00F15E73" w:rsidRDefault="00000000">
      <w:pPr>
        <w:keepNext/>
        <w:spacing w:before="280" w:after="80"/>
      </w:pPr>
      <w:r>
        <w:rPr>
          <w:b/>
          <w:color w:val="35A29F"/>
          <w:sz w:val="24"/>
        </w:rPr>
        <w:t>3.3 Standard Deep Learning vs. Physics-Informed Neural Networks</w:t>
      </w:r>
    </w:p>
    <w:p w14:paraId="566E71CA" w14:textId="77777777" w:rsidR="00F15E73" w:rsidRDefault="00000000">
      <w:r>
        <w:t>While traditional networks minimize error purely on discrete data samples, the PINN architecture utilizes PyTorch's automatic differentiation engine (torch.autograd.grad) to track and penalize violations of the underlying differential operator across continuous space-time regions:</w:t>
      </w:r>
    </w:p>
    <w:tbl>
      <w:tblPr>
        <w:tblW w:w="0" w:type="auto"/>
        <w:jc w:val="center"/>
        <w:tblLayout w:type="fixed"/>
        <w:tblLook w:val="04A0" w:firstRow="1" w:lastRow="0" w:firstColumn="1" w:lastColumn="0" w:noHBand="0" w:noVBand="1"/>
      </w:tblPr>
      <w:tblGrid>
        <w:gridCol w:w="9360"/>
      </w:tblGrid>
      <w:tr w:rsidR="00F15E73" w14:paraId="156C1928" w14:textId="77777777">
        <w:trPr>
          <w:jc w:val="center"/>
        </w:trPr>
        <w:tc>
          <w:tcPr>
            <w:tcW w:w="9360" w:type="dxa"/>
            <w:tcBorders>
              <w:left w:val="single" w:sz="24" w:space="0" w:color="35A29F"/>
            </w:tcBorders>
            <w:shd w:val="clear" w:color="auto" w:fill="F4F6F9"/>
          </w:tcPr>
          <w:p w14:paraId="66102BC5" w14:textId="77777777" w:rsidR="00F15E73" w:rsidRDefault="00000000">
            <w:pPr>
              <w:spacing w:before="160" w:after="160"/>
              <w:jc w:val="center"/>
            </w:pPr>
            <w:r>
              <w:rPr>
                <w:rFonts w:ascii="Courier New" w:hAnsi="Courier New"/>
                <w:b/>
                <w:color w:val="102C57"/>
                <w:sz w:val="21"/>
              </w:rPr>
              <w:lastRenderedPageBreak/>
              <w:t>Total_Loss = w_data * Loss_Data + w_pde * Loss_PDE_Residual + w_term * Loss_Terminal</w:t>
            </w:r>
          </w:p>
        </w:tc>
      </w:tr>
    </w:tbl>
    <w:p w14:paraId="6F0DDF48" w14:textId="77777777" w:rsidR="00F15E73" w:rsidRDefault="00F15E73">
      <w:pPr>
        <w:spacing w:after="80"/>
      </w:pPr>
    </w:p>
    <w:p w14:paraId="023BBF80" w14:textId="77777777" w:rsidR="00F15E73" w:rsidRDefault="00000000">
      <w:r>
        <w:t>For the single-asset 1D case, the neural architecture minimizes the continuous Heston PDE operator:</w:t>
      </w:r>
    </w:p>
    <w:tbl>
      <w:tblPr>
        <w:tblW w:w="0" w:type="auto"/>
        <w:jc w:val="center"/>
        <w:tblLayout w:type="fixed"/>
        <w:tblLook w:val="04A0" w:firstRow="1" w:lastRow="0" w:firstColumn="1" w:lastColumn="0" w:noHBand="0" w:noVBand="1"/>
      </w:tblPr>
      <w:tblGrid>
        <w:gridCol w:w="9360"/>
      </w:tblGrid>
      <w:tr w:rsidR="00F15E73" w14:paraId="10273057" w14:textId="77777777">
        <w:trPr>
          <w:jc w:val="center"/>
        </w:trPr>
        <w:tc>
          <w:tcPr>
            <w:tcW w:w="9360" w:type="dxa"/>
            <w:tcBorders>
              <w:left w:val="single" w:sz="24" w:space="0" w:color="35A29F"/>
            </w:tcBorders>
            <w:shd w:val="clear" w:color="auto" w:fill="F4F6F9"/>
          </w:tcPr>
          <w:p w14:paraId="492E4C05" w14:textId="77777777" w:rsidR="00F15E73" w:rsidRDefault="00000000">
            <w:pPr>
              <w:spacing w:before="160" w:after="160"/>
              <w:jc w:val="center"/>
            </w:pPr>
            <w:r>
              <w:rPr>
                <w:rFonts w:ascii="Courier New" w:hAnsi="Courier New"/>
                <w:b/>
                <w:color w:val="102C57"/>
                <w:sz w:val="21"/>
              </w:rPr>
              <w:t>dC/dt + r*S*dC/dS + kappa*(theta - V)*dC/dV + 0.5*V*(S^2)*(d^2C/dS^2) +</w:t>
            </w:r>
            <w:r>
              <w:rPr>
                <w:rFonts w:ascii="Courier New" w:hAnsi="Courier New"/>
                <w:b/>
                <w:color w:val="102C57"/>
                <w:sz w:val="21"/>
              </w:rPr>
              <w:br/>
              <w:t>0.5*(sigma_v^2)*V*(d^2C/dV^2) + rho*sigma_v*V*S*(d^2C/dSdV) - r*C = 0</w:t>
            </w:r>
          </w:p>
        </w:tc>
      </w:tr>
    </w:tbl>
    <w:p w14:paraId="4A763FE3" w14:textId="77777777" w:rsidR="00F15E73" w:rsidRDefault="00F15E73">
      <w:pPr>
        <w:spacing w:after="80"/>
      </w:pPr>
    </w:p>
    <w:p w14:paraId="357DCFD7" w14:textId="77777777" w:rsidR="00F15E73" w:rsidRDefault="00000000">
      <w:r>
        <w:t>For the 2D Maximum Basket Option, the input grid scales up to a 5D space-time tensor [S_1, S_2, V_1, V_2, t] minimizing the full cross-coupled multi-asset PDE residual:</w:t>
      </w:r>
    </w:p>
    <w:tbl>
      <w:tblPr>
        <w:tblW w:w="0" w:type="auto"/>
        <w:jc w:val="center"/>
        <w:tblLayout w:type="fixed"/>
        <w:tblLook w:val="04A0" w:firstRow="1" w:lastRow="0" w:firstColumn="1" w:lastColumn="0" w:noHBand="0" w:noVBand="1"/>
      </w:tblPr>
      <w:tblGrid>
        <w:gridCol w:w="9360"/>
      </w:tblGrid>
      <w:tr w:rsidR="00F15E73" w14:paraId="7DD627E7" w14:textId="77777777">
        <w:trPr>
          <w:jc w:val="center"/>
        </w:trPr>
        <w:tc>
          <w:tcPr>
            <w:tcW w:w="9360" w:type="dxa"/>
            <w:tcBorders>
              <w:left w:val="single" w:sz="24" w:space="0" w:color="35A29F"/>
            </w:tcBorders>
            <w:shd w:val="clear" w:color="auto" w:fill="F4F6F9"/>
          </w:tcPr>
          <w:p w14:paraId="369B45EB" w14:textId="77777777" w:rsidR="00F15E73" w:rsidRDefault="00000000">
            <w:pPr>
              <w:spacing w:before="160" w:after="160"/>
              <w:jc w:val="center"/>
            </w:pPr>
            <w:r>
              <w:rPr>
                <w:rFonts w:ascii="Courier New" w:hAnsi="Courier New"/>
                <w:b/>
                <w:color w:val="102C57"/>
                <w:sz w:val="21"/>
              </w:rPr>
              <w:t>dC/dt + r*S_1*dC/dS_1 + r*S_2*dC/dS_2 + kappa*(theta - V_1)*dC/dV_1 + kappa*(theta - V_2)*dC/dV_2 +</w:t>
            </w:r>
            <w:r>
              <w:rPr>
                <w:rFonts w:ascii="Courier New" w:hAnsi="Courier New"/>
                <w:b/>
                <w:color w:val="102C57"/>
                <w:sz w:val="21"/>
              </w:rPr>
              <w:br/>
              <w:t>0.5*V_1*(S_1^2)*(d^2C/dS_1^2) + 0.5*V_2*(S_2^2)*(d^2C/dS_2^2) + 0.5*(sigma_v^2)*V_1*(d^2C/dV_1^2) +</w:t>
            </w:r>
            <w:r>
              <w:rPr>
                <w:rFonts w:ascii="Courier New" w:hAnsi="Courier New"/>
                <w:b/>
                <w:color w:val="102C57"/>
                <w:sz w:val="21"/>
              </w:rPr>
              <w:br/>
              <w:t>0.5*(sigma_v^2)*V_2*(d^2C/dV_2^2) + rho*sigma_v*V_1*S_1*(d^2C/dS_1dV_1) + rho*sigma_v*V_2*S_2*(d^2C/dS_2dV_2) +</w:t>
            </w:r>
            <w:r>
              <w:rPr>
                <w:rFonts w:ascii="Courier New" w:hAnsi="Courier New"/>
                <w:b/>
                <w:color w:val="102C57"/>
                <w:sz w:val="21"/>
              </w:rPr>
              <w:br/>
              <w:t>rho_assets*sqrt(V_1*V_2)*S_1*S_2*(d^2C/dS_1dS_2) + rho_vars*(sigma_v^2)*sqrt(V_1*V_2)*(d^2C/dV_1dV_2) - r*C = 0</w:t>
            </w:r>
          </w:p>
        </w:tc>
      </w:tr>
    </w:tbl>
    <w:p w14:paraId="1BC5B976" w14:textId="77777777" w:rsidR="00F15E73" w:rsidRDefault="00F15E73">
      <w:pPr>
        <w:spacing w:after="80"/>
      </w:pPr>
    </w:p>
    <w:p w14:paraId="0B68B6F7" w14:textId="77777777" w:rsidR="00F15E73" w:rsidRDefault="00000000">
      <w:pPr>
        <w:keepNext/>
        <w:spacing w:before="360"/>
      </w:pPr>
      <w:r>
        <w:rPr>
          <w:b/>
          <w:color w:val="102C57"/>
          <w:sz w:val="30"/>
        </w:rPr>
        <w:t>4. Performance Metrics &amp; Dimensional Scalability</w:t>
      </w:r>
    </w:p>
    <w:tbl>
      <w:tblPr>
        <w:tblW w:w="0" w:type="auto"/>
        <w:jc w:val="center"/>
        <w:tblLayout w:type="fixed"/>
        <w:tblLook w:val="04A0" w:firstRow="1" w:lastRow="0" w:firstColumn="1" w:lastColumn="0" w:noHBand="0" w:noVBand="1"/>
      </w:tblPr>
      <w:tblGrid>
        <w:gridCol w:w="2592"/>
        <w:gridCol w:w="2160"/>
        <w:gridCol w:w="2160"/>
        <w:gridCol w:w="2448"/>
      </w:tblGrid>
      <w:tr w:rsidR="00F15E73" w14:paraId="4AB6FBFE" w14:textId="77777777">
        <w:trPr>
          <w:jc w:val="center"/>
        </w:trPr>
        <w:tc>
          <w:tcPr>
            <w:tcW w:w="2592" w:type="dxa"/>
            <w:shd w:val="clear" w:color="auto" w:fill="102C57"/>
          </w:tcPr>
          <w:p w14:paraId="4B3FE611" w14:textId="77777777" w:rsidR="00F15E73" w:rsidRDefault="00000000">
            <w:pPr>
              <w:spacing w:before="80" w:after="80"/>
              <w:jc w:val="center"/>
            </w:pPr>
            <w:r>
              <w:rPr>
                <w:b/>
                <w:color w:val="FFFFFF"/>
                <w:sz w:val="20"/>
              </w:rPr>
              <w:t>Pricing Methodology</w:t>
            </w:r>
          </w:p>
        </w:tc>
        <w:tc>
          <w:tcPr>
            <w:tcW w:w="2160" w:type="dxa"/>
            <w:shd w:val="clear" w:color="auto" w:fill="102C57"/>
          </w:tcPr>
          <w:p w14:paraId="6D69E6D3" w14:textId="77777777" w:rsidR="00F15E73" w:rsidRDefault="00000000">
            <w:pPr>
              <w:spacing w:before="80" w:after="80"/>
              <w:jc w:val="center"/>
            </w:pPr>
            <w:r>
              <w:rPr>
                <w:b/>
                <w:color w:val="FFFFFF"/>
                <w:sz w:val="20"/>
              </w:rPr>
              <w:t>1D Computational Speed</w:t>
            </w:r>
          </w:p>
        </w:tc>
        <w:tc>
          <w:tcPr>
            <w:tcW w:w="2160" w:type="dxa"/>
            <w:shd w:val="clear" w:color="auto" w:fill="102C57"/>
          </w:tcPr>
          <w:p w14:paraId="12C925E4" w14:textId="77777777" w:rsidR="00F15E73" w:rsidRDefault="00000000">
            <w:pPr>
              <w:spacing w:before="80" w:after="80"/>
              <w:jc w:val="center"/>
            </w:pPr>
            <w:r>
              <w:rPr>
                <w:b/>
                <w:color w:val="FFFFFF"/>
                <w:sz w:val="20"/>
              </w:rPr>
              <w:t>2D Basket Speed</w:t>
            </w:r>
          </w:p>
        </w:tc>
        <w:tc>
          <w:tcPr>
            <w:tcW w:w="2448" w:type="dxa"/>
            <w:shd w:val="clear" w:color="auto" w:fill="102C57"/>
          </w:tcPr>
          <w:p w14:paraId="49BF4B42" w14:textId="77777777" w:rsidR="00F15E73" w:rsidRDefault="00000000">
            <w:pPr>
              <w:spacing w:before="80" w:after="80"/>
              <w:jc w:val="center"/>
            </w:pPr>
            <w:r>
              <w:rPr>
                <w:b/>
                <w:color w:val="FFFFFF"/>
                <w:sz w:val="20"/>
              </w:rPr>
              <w:t>Extrapolation Generalization</w:t>
            </w:r>
          </w:p>
        </w:tc>
      </w:tr>
      <w:tr w:rsidR="00F15E73" w14:paraId="35169E86" w14:textId="77777777">
        <w:trPr>
          <w:jc w:val="center"/>
        </w:trPr>
        <w:tc>
          <w:tcPr>
            <w:tcW w:w="2592" w:type="dxa"/>
          </w:tcPr>
          <w:p w14:paraId="68EE1105" w14:textId="77777777" w:rsidR="00F15E73" w:rsidRDefault="00000000">
            <w:pPr>
              <w:spacing w:before="80" w:after="80"/>
            </w:pPr>
            <w:r>
              <w:rPr>
                <w:sz w:val="19"/>
              </w:rPr>
              <w:t>Analytical Fourier</w:t>
            </w:r>
          </w:p>
        </w:tc>
        <w:tc>
          <w:tcPr>
            <w:tcW w:w="2160" w:type="dxa"/>
          </w:tcPr>
          <w:p w14:paraId="100FCD2D" w14:textId="77777777" w:rsidR="00F15E73" w:rsidRDefault="00000000">
            <w:pPr>
              <w:spacing w:before="80" w:after="80"/>
              <w:jc w:val="center"/>
            </w:pPr>
            <w:r>
              <w:rPr>
                <w:sz w:val="19"/>
              </w:rPr>
              <w:t>Instantaneous (&lt;0.002s)</w:t>
            </w:r>
          </w:p>
        </w:tc>
        <w:tc>
          <w:tcPr>
            <w:tcW w:w="2160" w:type="dxa"/>
          </w:tcPr>
          <w:p w14:paraId="493F0174" w14:textId="77777777" w:rsidR="00F15E73" w:rsidRDefault="00000000">
            <w:pPr>
              <w:spacing w:before="80" w:after="80"/>
              <w:jc w:val="center"/>
            </w:pPr>
            <w:r>
              <w:rPr>
                <w:sz w:val="19"/>
              </w:rPr>
              <w:t>N/A (Dimensionally Bound)</w:t>
            </w:r>
          </w:p>
        </w:tc>
        <w:tc>
          <w:tcPr>
            <w:tcW w:w="2448" w:type="dxa"/>
          </w:tcPr>
          <w:p w14:paraId="11278B45" w14:textId="77777777" w:rsidR="00F15E73" w:rsidRDefault="00000000">
            <w:pPr>
              <w:spacing w:before="80" w:after="80"/>
              <w:jc w:val="center"/>
            </w:pPr>
            <w:r>
              <w:rPr>
                <w:sz w:val="19"/>
              </w:rPr>
              <w:t>Perfect (Exact Baseline)</w:t>
            </w:r>
          </w:p>
        </w:tc>
      </w:tr>
      <w:tr w:rsidR="00F15E73" w14:paraId="078E8C92" w14:textId="77777777">
        <w:trPr>
          <w:jc w:val="center"/>
        </w:trPr>
        <w:tc>
          <w:tcPr>
            <w:tcW w:w="2592" w:type="dxa"/>
            <w:shd w:val="clear" w:color="auto" w:fill="F9F9F9"/>
          </w:tcPr>
          <w:p w14:paraId="3FCC46F5" w14:textId="77777777" w:rsidR="00F15E73" w:rsidRDefault="00000000">
            <w:pPr>
              <w:spacing w:before="80" w:after="80"/>
            </w:pPr>
            <w:r>
              <w:rPr>
                <w:sz w:val="19"/>
              </w:rPr>
              <w:t>Monte Carlo (FT)</w:t>
            </w:r>
          </w:p>
        </w:tc>
        <w:tc>
          <w:tcPr>
            <w:tcW w:w="2160" w:type="dxa"/>
            <w:shd w:val="clear" w:color="auto" w:fill="F9F9F9"/>
          </w:tcPr>
          <w:p w14:paraId="1ACAFB66" w14:textId="77777777" w:rsidR="00F15E73" w:rsidRDefault="00000000">
            <w:pPr>
              <w:spacing w:before="80" w:after="80"/>
              <w:jc w:val="center"/>
            </w:pPr>
            <w:r>
              <w:rPr>
                <w:sz w:val="19"/>
              </w:rPr>
              <w:t>Moderate (~0.25s)</w:t>
            </w:r>
          </w:p>
        </w:tc>
        <w:tc>
          <w:tcPr>
            <w:tcW w:w="2160" w:type="dxa"/>
            <w:shd w:val="clear" w:color="auto" w:fill="F9F9F9"/>
          </w:tcPr>
          <w:p w14:paraId="781B3C16" w14:textId="77777777" w:rsidR="00F15E73" w:rsidRDefault="00000000">
            <w:pPr>
              <w:spacing w:before="80" w:after="80"/>
              <w:jc w:val="center"/>
            </w:pPr>
            <w:r>
              <w:rPr>
                <w:sz w:val="19"/>
              </w:rPr>
              <w:t>Substantial (~1.10s)</w:t>
            </w:r>
          </w:p>
        </w:tc>
        <w:tc>
          <w:tcPr>
            <w:tcW w:w="2448" w:type="dxa"/>
            <w:shd w:val="clear" w:color="auto" w:fill="F9F9F9"/>
          </w:tcPr>
          <w:p w14:paraId="47DD157F" w14:textId="77777777" w:rsidR="00F15E73" w:rsidRDefault="00000000">
            <w:pPr>
              <w:spacing w:before="80" w:after="80"/>
              <w:jc w:val="center"/>
            </w:pPr>
            <w:r>
              <w:rPr>
                <w:sz w:val="19"/>
              </w:rPr>
              <w:t>Excellent (Path Dependent)</w:t>
            </w:r>
          </w:p>
        </w:tc>
      </w:tr>
      <w:tr w:rsidR="00F15E73" w14:paraId="3AFABAC6" w14:textId="77777777">
        <w:trPr>
          <w:jc w:val="center"/>
        </w:trPr>
        <w:tc>
          <w:tcPr>
            <w:tcW w:w="2592" w:type="dxa"/>
          </w:tcPr>
          <w:p w14:paraId="02B371F1" w14:textId="77777777" w:rsidR="00F15E73" w:rsidRDefault="00000000">
            <w:pPr>
              <w:spacing w:before="80" w:after="80"/>
            </w:pPr>
            <w:r>
              <w:rPr>
                <w:sz w:val="19"/>
              </w:rPr>
              <w:t>Standard ANN</w:t>
            </w:r>
          </w:p>
        </w:tc>
        <w:tc>
          <w:tcPr>
            <w:tcW w:w="2160" w:type="dxa"/>
          </w:tcPr>
          <w:p w14:paraId="3926E72B" w14:textId="77777777" w:rsidR="00F15E73" w:rsidRDefault="00000000">
            <w:pPr>
              <w:spacing w:before="80" w:after="80"/>
              <w:jc w:val="center"/>
            </w:pPr>
            <w:r>
              <w:rPr>
                <w:sz w:val="19"/>
              </w:rPr>
              <w:t>Instantaneous (&lt;0.001s)</w:t>
            </w:r>
          </w:p>
        </w:tc>
        <w:tc>
          <w:tcPr>
            <w:tcW w:w="2160" w:type="dxa"/>
          </w:tcPr>
          <w:p w14:paraId="247F3471" w14:textId="77777777" w:rsidR="00F15E73" w:rsidRDefault="00000000">
            <w:pPr>
              <w:spacing w:before="80" w:after="80"/>
              <w:jc w:val="center"/>
            </w:pPr>
            <w:r>
              <w:rPr>
                <w:sz w:val="19"/>
              </w:rPr>
              <w:t>Instantaneous (&lt;0.001s)</w:t>
            </w:r>
          </w:p>
        </w:tc>
        <w:tc>
          <w:tcPr>
            <w:tcW w:w="2448" w:type="dxa"/>
          </w:tcPr>
          <w:p w14:paraId="3F0B9909" w14:textId="77777777" w:rsidR="00F15E73" w:rsidRDefault="00000000">
            <w:pPr>
              <w:spacing w:before="80" w:after="80"/>
              <w:jc w:val="center"/>
            </w:pPr>
            <w:r>
              <w:rPr>
                <w:sz w:val="19"/>
              </w:rPr>
              <w:t>Fails (Severe Negative Prices)</w:t>
            </w:r>
          </w:p>
        </w:tc>
      </w:tr>
      <w:tr w:rsidR="00F15E73" w14:paraId="6A694194" w14:textId="77777777">
        <w:trPr>
          <w:jc w:val="center"/>
        </w:trPr>
        <w:tc>
          <w:tcPr>
            <w:tcW w:w="2592" w:type="dxa"/>
            <w:shd w:val="clear" w:color="auto" w:fill="F9F9F9"/>
          </w:tcPr>
          <w:p w14:paraId="3FDC02DD" w14:textId="77777777" w:rsidR="00F15E73" w:rsidRDefault="00000000">
            <w:pPr>
              <w:spacing w:before="80" w:after="80"/>
            </w:pPr>
            <w:r>
              <w:rPr>
                <w:sz w:val="19"/>
              </w:rPr>
              <w:t>Physics-Informed PINN</w:t>
            </w:r>
          </w:p>
        </w:tc>
        <w:tc>
          <w:tcPr>
            <w:tcW w:w="2160" w:type="dxa"/>
            <w:shd w:val="clear" w:color="auto" w:fill="F9F9F9"/>
          </w:tcPr>
          <w:p w14:paraId="7666B651" w14:textId="77777777" w:rsidR="00F15E73" w:rsidRDefault="00000000">
            <w:pPr>
              <w:spacing w:before="80" w:after="80"/>
              <w:jc w:val="center"/>
            </w:pPr>
            <w:r>
              <w:rPr>
                <w:sz w:val="19"/>
              </w:rPr>
              <w:t>Instantaneous (&lt;0.001s)</w:t>
            </w:r>
          </w:p>
        </w:tc>
        <w:tc>
          <w:tcPr>
            <w:tcW w:w="2160" w:type="dxa"/>
            <w:shd w:val="clear" w:color="auto" w:fill="F9F9F9"/>
          </w:tcPr>
          <w:p w14:paraId="5D6D400E" w14:textId="77777777" w:rsidR="00F15E73" w:rsidRDefault="00000000">
            <w:pPr>
              <w:spacing w:before="80" w:after="80"/>
              <w:jc w:val="center"/>
            </w:pPr>
            <w:r>
              <w:rPr>
                <w:sz w:val="19"/>
              </w:rPr>
              <w:t>Instantaneous (&lt;0.001s)</w:t>
            </w:r>
          </w:p>
        </w:tc>
        <w:tc>
          <w:tcPr>
            <w:tcW w:w="2448" w:type="dxa"/>
            <w:shd w:val="clear" w:color="auto" w:fill="F9F9F9"/>
          </w:tcPr>
          <w:p w14:paraId="433F31E0" w14:textId="77777777" w:rsidR="00F15E73" w:rsidRDefault="00000000">
            <w:pPr>
              <w:spacing w:before="80" w:after="80"/>
              <w:jc w:val="center"/>
            </w:pPr>
            <w:r>
              <w:rPr>
                <w:sz w:val="19"/>
              </w:rPr>
              <w:t>Excellent (Enforced Non-Negativity)</w:t>
            </w:r>
          </w:p>
        </w:tc>
      </w:tr>
    </w:tbl>
    <w:p w14:paraId="6305B77C" w14:textId="77777777" w:rsidR="00F15E73" w:rsidRDefault="00F15E73">
      <w:pPr>
        <w:spacing w:after="160"/>
      </w:pPr>
    </w:p>
    <w:p w14:paraId="6D5CFF63" w14:textId="77777777" w:rsidR="00F15E73" w:rsidRDefault="00000000">
      <w:r>
        <w:t xml:space="preserve">The comparative benchmark matrix underscores the utility of deep network structural pricing. Traditional grid solver meshes or multi-dimensional random paths face intensive scaling bottlenecks when additional stochastic variance parameters are introduced. Conversely, neural processors maintain instantaneous execution times (&lt;0.001s) during evaluation. By appending </w:t>
      </w:r>
      <w:r>
        <w:lastRenderedPageBreak/>
        <w:t>a customized Softplus activation terminal block, PINN models guarantee strict enforcement of lower pricing boundaries across the global extrapolation space.</w:t>
      </w:r>
    </w:p>
    <w:sectPr w:rsidR="00F15E7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65763386">
    <w:abstractNumId w:val="8"/>
  </w:num>
  <w:num w:numId="2" w16cid:durableId="1517303725">
    <w:abstractNumId w:val="6"/>
  </w:num>
  <w:num w:numId="3" w16cid:durableId="286203954">
    <w:abstractNumId w:val="5"/>
  </w:num>
  <w:num w:numId="4" w16cid:durableId="693460375">
    <w:abstractNumId w:val="4"/>
  </w:num>
  <w:num w:numId="5" w16cid:durableId="96953036">
    <w:abstractNumId w:val="7"/>
  </w:num>
  <w:num w:numId="6" w16cid:durableId="1633517412">
    <w:abstractNumId w:val="3"/>
  </w:num>
  <w:num w:numId="7" w16cid:durableId="1260799489">
    <w:abstractNumId w:val="2"/>
  </w:num>
  <w:num w:numId="8" w16cid:durableId="1492600313">
    <w:abstractNumId w:val="1"/>
  </w:num>
  <w:num w:numId="9" w16cid:durableId="1477607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09B8"/>
    <w:rsid w:val="0015074B"/>
    <w:rsid w:val="00173D3D"/>
    <w:rsid w:val="0029639D"/>
    <w:rsid w:val="00326F90"/>
    <w:rsid w:val="00AA1D8D"/>
    <w:rsid w:val="00B47730"/>
    <w:rsid w:val="00CB0664"/>
    <w:rsid w:val="00F15E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C172D1"/>
  <w14:defaultImageDpi w14:val="300"/>
  <w15:docId w15:val="{DFFE4531-FFE8-E841-BDEC-ED01365AB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color w:val="2B2B2B"/>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792</Words>
  <Characters>5206</Characters>
  <Application>Microsoft Office Word</Application>
  <DocSecurity>0</DocSecurity>
  <Lines>126</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Pierre Moureaux</cp:lastModifiedBy>
  <cp:revision>2</cp:revision>
  <dcterms:created xsi:type="dcterms:W3CDTF">2026-10-23T11:19:00Z</dcterms:created>
  <dcterms:modified xsi:type="dcterms:W3CDTF">2026-10-23T11:19:00Z</dcterms:modified>
  <cp:category/>
</cp:coreProperties>
</file>