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69B8" w14:textId="77777777" w:rsidR="000F780C" w:rsidRDefault="00000000">
      <w:pPr>
        <w:spacing w:after="40"/>
        <w:jc w:val="center"/>
      </w:pPr>
      <w:r>
        <w:rPr>
          <w:b/>
          <w:color w:val="102C57"/>
          <w:sz w:val="36"/>
        </w:rPr>
        <w:t>TECHNICAL NOTE: QUANTITATIVE OPTION PRICING COMPREHENSIVE STUDY</w:t>
      </w:r>
    </w:p>
    <w:p w14:paraId="6A5E80AC" w14:textId="77777777" w:rsidR="000F780C" w:rsidRDefault="00000000">
      <w:pPr>
        <w:spacing w:after="360"/>
        <w:jc w:val="center"/>
      </w:pPr>
      <w:r>
        <w:rPr>
          <w:i/>
          <w:color w:val="35A29F"/>
          <w:sz w:val="24"/>
        </w:rPr>
        <w:t>Bates Stochastic Volatility Jump-Diffusion Framework via Carr-Madan Inversion, IMEX PIDE Grid Solver, Vectorized Monte Carlo Full-Truncation, and Physics-Informed Neural Networks (PINN)</w:t>
      </w:r>
    </w:p>
    <w:p w14:paraId="467B359A" w14:textId="77777777" w:rsidR="000F780C" w:rsidRDefault="00000000">
      <w:pPr>
        <w:keepNext/>
        <w:spacing w:before="360" w:after="120"/>
      </w:pPr>
      <w:r>
        <w:rPr>
          <w:b/>
          <w:color w:val="102C57"/>
          <w:sz w:val="32"/>
        </w:rPr>
        <w:t>1. Executive Summary</w:t>
      </w:r>
    </w:p>
    <w:p w14:paraId="7FC43D18" w14:textId="77777777" w:rsidR="000F780C" w:rsidRDefault="00000000">
      <w:pPr>
        <w:spacing w:after="120"/>
      </w:pPr>
      <w:r>
        <w:t>This technical report presents an exhaustive benchmarking of high-performance derivative valuation frameworks within the Bates (1996) Stochastic Volatility Jump-Diffusion paradigm. To rigorously assess empirical generalization capabilities and multi-dimensional boundary intelligence, machine learning architectures are trained on a tightly restricted asset pricing corridor [80, 120] and evaluated on a broad, challenging out-of-sample extrapolation spectrum [50, 150].</w:t>
      </w:r>
    </w:p>
    <w:p w14:paraId="2668ADFE" w14:textId="77777777" w:rsidR="000F780C" w:rsidRDefault="00000000">
      <w:pPr>
        <w:spacing w:after="120"/>
      </w:pPr>
      <w:r>
        <w:t>The quantitative results confirm that classic data-driven artificial neural networks (ANNs) fail structurally outside their explicit sampling bounds, introducing severe non-financial anomalies such as illegal negative option values and explosive pricing errors. Conversely, Physics-Informed Neural Networks (PINNs) demonstrate superior generalization and structural integrity by embedding the underlying non-local partial integro-differential equations (PIDEs) and asymptotic financial limits directly inside the gradient optimization routine, enforcing continuous arbitrage-free pricing surfaces across the global domain.</w:t>
      </w:r>
    </w:p>
    <w:p w14:paraId="18E7AEE2" w14:textId="77777777" w:rsidR="000F780C" w:rsidRDefault="00000000">
      <w:pPr>
        <w:keepNext/>
        <w:spacing w:before="360" w:after="120"/>
      </w:pPr>
      <w:r>
        <w:rPr>
          <w:b/>
          <w:color w:val="102C57"/>
          <w:sz w:val="32"/>
        </w:rPr>
        <w:t>2. Theoretical Framework &amp; Asset Dynamics</w:t>
      </w:r>
    </w:p>
    <w:p w14:paraId="0B2CE421" w14:textId="77777777" w:rsidR="000F780C" w:rsidRDefault="00000000">
      <w:pPr>
        <w:spacing w:after="120"/>
      </w:pPr>
      <w:r>
        <w:t>To capture both the continuous volatility clustering observed in financial markets and sudden discrete asset price shocks (such as corporate failures or macroeconomic crises), the Bates paradigm extends the Heston model by adding a log-normal compound Poisson jump process. The coupled risk-neutral system is governed by the following Stochastic Differential Equations (SDEs):</w:t>
      </w:r>
    </w:p>
    <w:tbl>
      <w:tblPr>
        <w:tblW w:w="0" w:type="auto"/>
        <w:jc w:val="center"/>
        <w:tblLayout w:type="fixed"/>
        <w:tblLook w:val="04A0" w:firstRow="1" w:lastRow="0" w:firstColumn="1" w:lastColumn="0" w:noHBand="0" w:noVBand="1"/>
      </w:tblPr>
      <w:tblGrid>
        <w:gridCol w:w="9360"/>
      </w:tblGrid>
      <w:tr w:rsidR="000F780C" w14:paraId="158D1C6C" w14:textId="77777777">
        <w:trPr>
          <w:jc w:val="center"/>
        </w:trPr>
        <w:tc>
          <w:tcPr>
            <w:tcW w:w="9360" w:type="dxa"/>
            <w:tcBorders>
              <w:left w:val="single" w:sz="24" w:space="0" w:color="35A29F"/>
            </w:tcBorders>
            <w:shd w:val="clear" w:color="auto" w:fill="F4F6F9"/>
          </w:tcPr>
          <w:p w14:paraId="5438792A" w14:textId="77777777" w:rsidR="000F780C" w:rsidRDefault="00000000">
            <w:pPr>
              <w:spacing w:before="80" w:after="80"/>
              <w:jc w:val="center"/>
            </w:pPr>
            <w:r>
              <w:rPr>
                <w:rFonts w:ascii="Courier New" w:hAnsi="Courier New"/>
                <w:b/>
                <w:color w:val="102C57"/>
                <w:sz w:val="21"/>
              </w:rPr>
              <w:t>dS(t) = (r - lambda * kappa_j) * S(t) * dt + sqrt(V(t)) * S(t) * dW_S(t) + S(t) * d(sum_{k=1}^{N(t)} (Y_k - 1))</w:t>
            </w:r>
            <w:r>
              <w:rPr>
                <w:rFonts w:ascii="Courier New" w:hAnsi="Courier New"/>
                <w:b/>
                <w:color w:val="102C57"/>
                <w:sz w:val="21"/>
              </w:rPr>
              <w:br/>
              <w:t>dV(t) = kappa * (theta - V(t)) * dt + sigma_v * sqrt(V(t)) * dW_V(t)</w:t>
            </w:r>
          </w:p>
        </w:tc>
      </w:tr>
    </w:tbl>
    <w:p w14:paraId="61881EBE" w14:textId="77777777" w:rsidR="000F780C" w:rsidRDefault="00000000">
      <w:pPr>
        <w:spacing w:before="40" w:after="120"/>
      </w:pPr>
      <w:r>
        <w:rPr>
          <w:i/>
          <w:sz w:val="19"/>
        </w:rPr>
        <w:t>Where:</w:t>
      </w:r>
      <w:r>
        <w:rPr>
          <w:i/>
          <w:sz w:val="19"/>
        </w:rPr>
        <w:br/>
        <w:t>r: Risk-free interest rate constant.</w:t>
      </w:r>
      <w:r>
        <w:rPr>
          <w:i/>
          <w:sz w:val="19"/>
        </w:rPr>
        <w:br/>
        <w:t>lambda: Constant jump intensity (frequency of market shocks).</w:t>
      </w:r>
      <w:r>
        <w:rPr>
          <w:i/>
          <w:sz w:val="19"/>
        </w:rPr>
        <w:br/>
        <w:t>kappa_j: Expected relative jump size change, E[Y_k - 1] = exp(mu_j + 0.5 * sigma_j^2) - 1.</w:t>
      </w:r>
      <w:r>
        <w:rPr>
          <w:i/>
          <w:sz w:val="19"/>
        </w:rPr>
        <w:br/>
        <w:t>kappa: Mean-reversion speed coefficient of the variance process.</w:t>
      </w:r>
      <w:r>
        <w:rPr>
          <w:i/>
          <w:sz w:val="19"/>
        </w:rPr>
        <w:br/>
        <w:t>theta: Long-term variance equilibrium mean level.</w:t>
      </w:r>
      <w:r>
        <w:rPr>
          <w:i/>
          <w:sz w:val="19"/>
        </w:rPr>
        <w:br/>
        <w:t>sigma_v: Volatility of variance parameter ('vol-of-vol').</w:t>
      </w:r>
      <w:r>
        <w:rPr>
          <w:i/>
          <w:sz w:val="19"/>
        </w:rPr>
        <w:br/>
        <w:t>dW_S, dW_V: Standard Brownian increments sharing a correlation coefficient rho, such that E[dW_S(t) * dW_V(t)] = rho * dt.</w:t>
      </w:r>
      <w:r>
        <w:rPr>
          <w:i/>
          <w:sz w:val="19"/>
        </w:rPr>
        <w:br/>
      </w:r>
      <w:r>
        <w:rPr>
          <w:i/>
          <w:sz w:val="19"/>
        </w:rPr>
        <w:lastRenderedPageBreak/>
        <w:t>N(t): Independent Poisson process tracking discrete jump events.</w:t>
      </w:r>
      <w:r>
        <w:rPr>
          <w:i/>
          <w:sz w:val="19"/>
        </w:rPr>
        <w:br/>
        <w:t>Y_k: Log-normal jump magnitude size distribution where ln(Y_k) ~ N(mu_j, sigma_j^2).</w:t>
      </w:r>
    </w:p>
    <w:p w14:paraId="3E10521D" w14:textId="77777777" w:rsidR="000F780C" w:rsidRDefault="00000000">
      <w:pPr>
        <w:keepNext/>
        <w:spacing w:before="240" w:after="80"/>
      </w:pPr>
      <w:r>
        <w:rPr>
          <w:b/>
          <w:color w:val="35A29F"/>
          <w:sz w:val="26"/>
        </w:rPr>
        <w:t>2.1 1D Vanilla European Call Option Payoff</w:t>
      </w:r>
    </w:p>
    <w:p w14:paraId="132AFC61" w14:textId="77777777" w:rsidR="000F780C" w:rsidRDefault="00000000">
      <w:pPr>
        <w:spacing w:after="120"/>
      </w:pPr>
      <w:r>
        <w:t>The terminal contingent pricing value at maturity (t = T) for the single-underlying vanilla call asset contract is bounded by standard execution limits:</w:t>
      </w:r>
    </w:p>
    <w:tbl>
      <w:tblPr>
        <w:tblW w:w="0" w:type="auto"/>
        <w:jc w:val="center"/>
        <w:tblLayout w:type="fixed"/>
        <w:tblLook w:val="04A0" w:firstRow="1" w:lastRow="0" w:firstColumn="1" w:lastColumn="0" w:noHBand="0" w:noVBand="1"/>
      </w:tblPr>
      <w:tblGrid>
        <w:gridCol w:w="9360"/>
      </w:tblGrid>
      <w:tr w:rsidR="000F780C" w14:paraId="4A879440" w14:textId="77777777">
        <w:trPr>
          <w:jc w:val="center"/>
        </w:trPr>
        <w:tc>
          <w:tcPr>
            <w:tcW w:w="9360" w:type="dxa"/>
            <w:tcBorders>
              <w:left w:val="single" w:sz="24" w:space="0" w:color="35A29F"/>
            </w:tcBorders>
            <w:shd w:val="clear" w:color="auto" w:fill="F4F6F9"/>
          </w:tcPr>
          <w:p w14:paraId="7320C08B" w14:textId="77777777" w:rsidR="000F780C" w:rsidRDefault="00000000">
            <w:pPr>
              <w:spacing w:before="80" w:after="80"/>
              <w:jc w:val="center"/>
            </w:pPr>
            <w:r>
              <w:rPr>
                <w:rFonts w:ascii="Courier New" w:hAnsi="Courier New"/>
                <w:b/>
                <w:color w:val="102C57"/>
                <w:sz w:val="21"/>
              </w:rPr>
              <w:t>Payoff_1D = max(S - K, 0)</w:t>
            </w:r>
          </w:p>
        </w:tc>
      </w:tr>
    </w:tbl>
    <w:p w14:paraId="4E4F298D" w14:textId="77777777" w:rsidR="000F780C" w:rsidRDefault="00000000">
      <w:pPr>
        <w:spacing w:before="40" w:after="120"/>
      </w:pPr>
      <w:r>
        <w:rPr>
          <w:i/>
          <w:sz w:val="19"/>
        </w:rPr>
        <w:t>Where:</w:t>
      </w:r>
      <w:r>
        <w:rPr>
          <w:i/>
          <w:sz w:val="19"/>
        </w:rPr>
        <w:br/>
        <w:t>S: Underlying asset spot price.</w:t>
      </w:r>
      <w:r>
        <w:rPr>
          <w:i/>
          <w:sz w:val="19"/>
        </w:rPr>
        <w:br/>
        <w:t>K: Contract execution strike price.</w:t>
      </w:r>
    </w:p>
    <w:p w14:paraId="4DF9D8F1" w14:textId="77777777" w:rsidR="000F780C" w:rsidRDefault="00000000">
      <w:pPr>
        <w:keepNext/>
        <w:spacing w:before="240" w:after="80"/>
      </w:pPr>
      <w:r>
        <w:rPr>
          <w:b/>
          <w:color w:val="35A29F"/>
          <w:sz w:val="26"/>
        </w:rPr>
        <w:t>2.2 2D Maximum Basket Call Option Payoff</w:t>
      </w:r>
    </w:p>
    <w:p w14:paraId="050483C6" w14:textId="77777777" w:rsidR="000F780C" w:rsidRDefault="00000000">
      <w:pPr>
        <w:spacing w:after="120"/>
      </w:pPr>
      <w:r>
        <w:t>The multi-asset contingent claim behaves as an outperformance basket choice option. It delivers a terminal payout tied exclusively to the maximum terminal price reached between two independent jump-diffusion asset paths:</w:t>
      </w:r>
    </w:p>
    <w:tbl>
      <w:tblPr>
        <w:tblW w:w="0" w:type="auto"/>
        <w:jc w:val="center"/>
        <w:tblLayout w:type="fixed"/>
        <w:tblLook w:val="04A0" w:firstRow="1" w:lastRow="0" w:firstColumn="1" w:lastColumn="0" w:noHBand="0" w:noVBand="1"/>
      </w:tblPr>
      <w:tblGrid>
        <w:gridCol w:w="9360"/>
      </w:tblGrid>
      <w:tr w:rsidR="000F780C" w14:paraId="46F958A6" w14:textId="77777777">
        <w:trPr>
          <w:jc w:val="center"/>
        </w:trPr>
        <w:tc>
          <w:tcPr>
            <w:tcW w:w="9360" w:type="dxa"/>
            <w:tcBorders>
              <w:left w:val="single" w:sz="24" w:space="0" w:color="35A29F"/>
            </w:tcBorders>
            <w:shd w:val="clear" w:color="auto" w:fill="F4F6F9"/>
          </w:tcPr>
          <w:p w14:paraId="193FFDD3" w14:textId="77777777" w:rsidR="000F780C" w:rsidRDefault="00000000">
            <w:pPr>
              <w:spacing w:before="80" w:after="80"/>
              <w:jc w:val="center"/>
            </w:pPr>
            <w:r>
              <w:rPr>
                <w:rFonts w:ascii="Courier New" w:hAnsi="Courier New"/>
                <w:b/>
                <w:color w:val="102C57"/>
                <w:sz w:val="21"/>
              </w:rPr>
              <w:t>Payoff_2D = max(max(S_1, S_2) - K, 0)</w:t>
            </w:r>
          </w:p>
        </w:tc>
      </w:tr>
    </w:tbl>
    <w:p w14:paraId="66CABFB4" w14:textId="77777777" w:rsidR="000F780C" w:rsidRDefault="00000000">
      <w:pPr>
        <w:spacing w:before="40" w:after="120"/>
      </w:pPr>
      <w:r>
        <w:rPr>
          <w:i/>
          <w:sz w:val="19"/>
        </w:rPr>
        <w:t>Where:</w:t>
      </w:r>
      <w:r>
        <w:rPr>
          <w:i/>
          <w:sz w:val="19"/>
        </w:rPr>
        <w:br/>
        <w:t>S_1, S_2: Correlated asset spot paths sharing systemic joint market shocks.</w:t>
      </w:r>
    </w:p>
    <w:p w14:paraId="0B294FB5" w14:textId="77777777" w:rsidR="000F780C" w:rsidRDefault="00000000">
      <w:pPr>
        <w:keepNext/>
        <w:spacing w:before="360" w:after="120"/>
      </w:pPr>
      <w:r>
        <w:rPr>
          <w:b/>
          <w:color w:val="102C57"/>
          <w:sz w:val="32"/>
        </w:rPr>
        <w:t>3. Numerical Methodology Profiles</w:t>
      </w:r>
    </w:p>
    <w:p w14:paraId="4AE39B22" w14:textId="77777777" w:rsidR="000F780C" w:rsidRDefault="00000000">
      <w:pPr>
        <w:keepNext/>
        <w:spacing w:before="240" w:after="80"/>
      </w:pPr>
      <w:r>
        <w:rPr>
          <w:b/>
          <w:color w:val="35A29F"/>
          <w:sz w:val="26"/>
        </w:rPr>
        <w:t>3.1 1D Closed-Form Solution: Carr-Madan Fourier Inversion</w:t>
      </w:r>
    </w:p>
    <w:p w14:paraId="18C35307" w14:textId="77777777" w:rsidR="000F780C" w:rsidRDefault="00000000">
      <w:pPr>
        <w:spacing w:after="120"/>
      </w:pPr>
      <w:r>
        <w:t>The single-asset true reference profile is computed via the semi-analytic inversion of the Bates joint characteristic function. To achieve numerical stability and completely eliminate pricing underestimation near the money, the implementation applies the Carr-Madan formulation utilizing an exponential damping parameter (alpha = 0.75) alongside the stable multi-branch complex logarithm branch cuts of Albrecher/Gatheral:</w:t>
      </w:r>
    </w:p>
    <w:tbl>
      <w:tblPr>
        <w:tblW w:w="0" w:type="auto"/>
        <w:jc w:val="center"/>
        <w:tblLayout w:type="fixed"/>
        <w:tblLook w:val="04A0" w:firstRow="1" w:lastRow="0" w:firstColumn="1" w:lastColumn="0" w:noHBand="0" w:noVBand="1"/>
      </w:tblPr>
      <w:tblGrid>
        <w:gridCol w:w="9360"/>
      </w:tblGrid>
      <w:tr w:rsidR="000F780C" w14:paraId="0C495B54" w14:textId="77777777">
        <w:trPr>
          <w:jc w:val="center"/>
        </w:trPr>
        <w:tc>
          <w:tcPr>
            <w:tcW w:w="9360" w:type="dxa"/>
            <w:tcBorders>
              <w:left w:val="single" w:sz="24" w:space="0" w:color="35A29F"/>
            </w:tcBorders>
            <w:shd w:val="clear" w:color="auto" w:fill="F4F6F9"/>
          </w:tcPr>
          <w:p w14:paraId="1854E7B2" w14:textId="77777777" w:rsidR="000F780C" w:rsidRDefault="00000000">
            <w:pPr>
              <w:spacing w:before="80" w:after="80"/>
              <w:jc w:val="center"/>
            </w:pPr>
            <w:r>
              <w:rPr>
                <w:rFonts w:ascii="Courier New" w:hAnsi="Courier New"/>
                <w:b/>
                <w:color w:val="102C57"/>
                <w:sz w:val="21"/>
              </w:rPr>
              <w:t>Price_1D = (exp(-alpha * ln(K)) / pi) * Integral_0_to_inf( Real[ exp(-i * v * ln(K)) * psi(v) ] * dv )</w:t>
            </w:r>
            <w:r>
              <w:rPr>
                <w:rFonts w:ascii="Courier New" w:hAnsi="Courier New"/>
                <w:b/>
                <w:color w:val="102C57"/>
                <w:sz w:val="21"/>
              </w:rPr>
              <w:br/>
              <w:t>psi(v) = (exp(-r * T) * phi(v - (alpha + 1) * 1j)) / (alpha^2 + alpha - v^2 + 1j * (2 * alpha + 1) * v)</w:t>
            </w:r>
          </w:p>
        </w:tc>
      </w:tr>
    </w:tbl>
    <w:p w14:paraId="754159D0" w14:textId="77777777" w:rsidR="000F780C" w:rsidRDefault="00000000">
      <w:pPr>
        <w:spacing w:before="40" w:after="120"/>
      </w:pPr>
      <w:r>
        <w:rPr>
          <w:i/>
          <w:sz w:val="19"/>
        </w:rPr>
        <w:t>Where:</w:t>
      </w:r>
      <w:r>
        <w:rPr>
          <w:i/>
          <w:sz w:val="19"/>
        </w:rPr>
        <w:br/>
        <w:t>phi: The joint complex characteristic function of the log-asset price under the Bates dynamics.</w:t>
      </w:r>
      <w:r>
        <w:rPr>
          <w:i/>
          <w:sz w:val="19"/>
        </w:rPr>
        <w:br/>
        <w:t>v: Integration transform frequency variable parameter.</w:t>
      </w:r>
    </w:p>
    <w:p w14:paraId="671F7885" w14:textId="77777777" w:rsidR="000F780C" w:rsidRDefault="00000000">
      <w:pPr>
        <w:keepNext/>
        <w:spacing w:before="240" w:after="80"/>
      </w:pPr>
      <w:r>
        <w:rPr>
          <w:b/>
          <w:color w:val="35A29F"/>
          <w:sz w:val="26"/>
        </w:rPr>
        <w:t>3.2 1D Finite Difference Solver: Partial Integro-Differential Equation (PIDE)</w:t>
      </w:r>
    </w:p>
    <w:p w14:paraId="3D5F7F2D" w14:textId="77777777" w:rsidR="000F780C" w:rsidRDefault="00000000">
      <w:pPr>
        <w:spacing w:after="120"/>
      </w:pPr>
      <w:r>
        <w:t>The incorporation of discrete jumps alters the second-order parabolic PDE into a non-local Partial Integro-Differential Equation (PIDE). To solve this system across the space mesh without incurring massive dense matrix inversion over-heads, the finite difference grid implements an Implicit-Explicit (IMEX) numerical time-stepping routine:</w:t>
      </w:r>
    </w:p>
    <w:tbl>
      <w:tblPr>
        <w:tblW w:w="0" w:type="auto"/>
        <w:jc w:val="center"/>
        <w:tblLayout w:type="fixed"/>
        <w:tblLook w:val="04A0" w:firstRow="1" w:lastRow="0" w:firstColumn="1" w:lastColumn="0" w:noHBand="0" w:noVBand="1"/>
      </w:tblPr>
      <w:tblGrid>
        <w:gridCol w:w="9360"/>
      </w:tblGrid>
      <w:tr w:rsidR="000F780C" w14:paraId="4B6BD304" w14:textId="77777777">
        <w:trPr>
          <w:jc w:val="center"/>
        </w:trPr>
        <w:tc>
          <w:tcPr>
            <w:tcW w:w="9360" w:type="dxa"/>
            <w:tcBorders>
              <w:left w:val="single" w:sz="24" w:space="0" w:color="35A29F"/>
            </w:tcBorders>
            <w:shd w:val="clear" w:color="auto" w:fill="F4F6F9"/>
          </w:tcPr>
          <w:p w14:paraId="139EBAAA" w14:textId="77777777" w:rsidR="000F780C" w:rsidRDefault="00000000">
            <w:pPr>
              <w:spacing w:before="80" w:after="80"/>
              <w:jc w:val="center"/>
            </w:pPr>
            <w:r>
              <w:rPr>
                <w:rFonts w:ascii="Courier New" w:hAnsi="Courier New"/>
                <w:b/>
                <w:color w:val="102C57"/>
                <w:sz w:val="21"/>
              </w:rPr>
              <w:lastRenderedPageBreak/>
              <w:t>dC/dt + (r - lambda * kappa_j) * S * dC/dS + kappa * (theta - V) * dC/dV + 0.5 * V * S^2 * (d^2C/dS^2) +</w:t>
            </w:r>
            <w:r>
              <w:rPr>
                <w:rFonts w:ascii="Courier New" w:hAnsi="Courier New"/>
                <w:b/>
                <w:color w:val="102C57"/>
                <w:sz w:val="21"/>
              </w:rPr>
              <w:br/>
              <w:t>0.5 * sigma_v^2 * V * (d^2C/dV^2) + rho * sigma_v * V * S * (d^2C/dSdV) - (r + lambda) * C + I[C] = 0</w:t>
            </w:r>
          </w:p>
        </w:tc>
      </w:tr>
    </w:tbl>
    <w:p w14:paraId="028B1055" w14:textId="77777777" w:rsidR="000F780C" w:rsidRDefault="00000000">
      <w:pPr>
        <w:spacing w:before="40" w:after="120"/>
      </w:pPr>
      <w:r>
        <w:rPr>
          <w:i/>
          <w:sz w:val="19"/>
        </w:rPr>
        <w:t>Where:</w:t>
      </w:r>
      <w:r>
        <w:rPr>
          <w:i/>
          <w:sz w:val="19"/>
        </w:rPr>
        <w:br/>
        <w:t>I[C] = lambda * Integral_0_to_inf( C(S * y, t) * f_Y(y) * dy )  [Non-local integral operator density slice].</w:t>
      </w:r>
    </w:p>
    <w:p w14:paraId="2BFE321F" w14:textId="77777777" w:rsidR="000F780C" w:rsidRDefault="00000000">
      <w:pPr>
        <w:spacing w:after="120"/>
      </w:pPr>
      <w:r>
        <w:t>Under the IMEX scheme, the Heston continuous drift and second-order spatial diffusion/correlation operators are discretized using an implicit matrix formulation to maintain structural stability. Concurrently, the non-local integral jump operator term I[C] is updated explicitly using trapz integration matrices computed from the preceding isolated time layer.</w:t>
      </w:r>
    </w:p>
    <w:p w14:paraId="51D58D4E" w14:textId="77777777" w:rsidR="000F780C" w:rsidRDefault="00000000">
      <w:pPr>
        <w:keepNext/>
        <w:spacing w:before="240" w:after="80"/>
      </w:pPr>
      <w:r>
        <w:rPr>
          <w:b/>
          <w:color w:val="35A29F"/>
          <w:sz w:val="26"/>
        </w:rPr>
        <w:t>3.3 2D Basket Target Baseline: Full-Truncation Monte Carlo Simulation</w:t>
      </w:r>
    </w:p>
    <w:p w14:paraId="089AC31B" w14:textId="77777777" w:rsidR="000F780C" w:rsidRDefault="00000000">
      <w:pPr>
        <w:spacing w:after="120"/>
      </w:pPr>
      <w:r>
        <w:t>To simulate the multi-asset basket without experiencing exponential grid dimension explosion, the reference uses a multi-dimensional vectorized Monte Carlo framework. To eliminate negative variance anomalies arising from discrete steps, a Full-Truncation scheme is strictly enforced, while correlated assets are generated via a Cholesky matrix decomposition:</w:t>
      </w:r>
    </w:p>
    <w:tbl>
      <w:tblPr>
        <w:tblW w:w="0" w:type="auto"/>
        <w:jc w:val="center"/>
        <w:tblLayout w:type="fixed"/>
        <w:tblLook w:val="04A0" w:firstRow="1" w:lastRow="0" w:firstColumn="1" w:lastColumn="0" w:noHBand="0" w:noVBand="1"/>
      </w:tblPr>
      <w:tblGrid>
        <w:gridCol w:w="9360"/>
      </w:tblGrid>
      <w:tr w:rsidR="000F780C" w14:paraId="6ABC9A50" w14:textId="77777777">
        <w:trPr>
          <w:jc w:val="center"/>
        </w:trPr>
        <w:tc>
          <w:tcPr>
            <w:tcW w:w="9360" w:type="dxa"/>
            <w:tcBorders>
              <w:left w:val="single" w:sz="24" w:space="0" w:color="35A29F"/>
            </w:tcBorders>
            <w:shd w:val="clear" w:color="auto" w:fill="F4F6F9"/>
          </w:tcPr>
          <w:p w14:paraId="343B8726" w14:textId="77777777" w:rsidR="000F780C" w:rsidRDefault="00000000">
            <w:pPr>
              <w:spacing w:before="80" w:after="80"/>
              <w:jc w:val="center"/>
            </w:pPr>
            <w:r>
              <w:rPr>
                <w:rFonts w:ascii="Courier New" w:hAnsi="Courier New"/>
                <w:b/>
                <w:color w:val="102C57"/>
                <w:sz w:val="21"/>
              </w:rPr>
              <w:t>V_pos = max(V, 0)</w:t>
            </w:r>
            <w:r>
              <w:rPr>
                <w:rFonts w:ascii="Courier New" w:hAnsi="Courier New"/>
                <w:b/>
                <w:color w:val="102C57"/>
                <w:sz w:val="21"/>
              </w:rPr>
              <w:br/>
              <w:t>S_i(t+dt) = S_i(t) * exp((r - lambda * kappa_j - 0.5 * V_pos) * dt + sqrt(V_pos * dt) * Z_{S_i}) * exp(sum_{k=1}^{dN(t)} J_{i,k})</w:t>
            </w:r>
          </w:p>
        </w:tc>
      </w:tr>
    </w:tbl>
    <w:p w14:paraId="6078E346" w14:textId="77777777" w:rsidR="000F780C" w:rsidRDefault="00000000">
      <w:pPr>
        <w:spacing w:before="40" w:after="120"/>
      </w:pPr>
      <w:r>
        <w:rPr>
          <w:i/>
          <w:sz w:val="19"/>
        </w:rPr>
        <w:t>Where:</w:t>
      </w:r>
      <w:r>
        <w:rPr>
          <w:i/>
          <w:sz w:val="19"/>
        </w:rPr>
        <w:br/>
        <w:t>Z_{S_i}: Correlated Gaussian noise vectors mapped via multi-asset and multi-variance Cholesky correlations.</w:t>
      </w:r>
      <w:r>
        <w:rPr>
          <w:i/>
          <w:sz w:val="19"/>
        </w:rPr>
        <w:br/>
        <w:t>dN(t): Jumps occurring simultaneously in time step dt via a shared systemic Poisson intensity lambda.</w:t>
      </w:r>
    </w:p>
    <w:p w14:paraId="18B3EA12" w14:textId="77777777" w:rsidR="000F780C" w:rsidRDefault="00000000">
      <w:pPr>
        <w:keepNext/>
        <w:spacing w:before="240" w:after="80"/>
      </w:pPr>
      <w:r>
        <w:rPr>
          <w:b/>
          <w:color w:val="35A29F"/>
          <w:sz w:val="26"/>
        </w:rPr>
        <w:t>3.4 Standard Deep Learning vs. Physics-Informed Neural Networks</w:t>
      </w:r>
    </w:p>
    <w:p w14:paraId="49276EC2" w14:textId="77777777" w:rsidR="000F780C" w:rsidRDefault="00000000">
      <w:pPr>
        <w:spacing w:after="120"/>
      </w:pPr>
      <w:r>
        <w:t>While standard ANNs optimize weights strictly on discrete target tables, the PINN architecture utilizes automatic differentiation layers (torch.autograd.grad) to track and penalize structural violations of the Bates PIDE across continuous coordinates. For the 2D Maximum Basket Call, the input grid scales up to a 5D space-time tensor [S_1, S_2, V_1, V_2, t]. To circumvent the severe training bottleneck of evaluating heavy numerical integrations during optimization epochs, the non-local jump integral operator is embedded continuously via its second-order Taylor analytical approximation:</w:t>
      </w:r>
    </w:p>
    <w:tbl>
      <w:tblPr>
        <w:tblW w:w="0" w:type="auto"/>
        <w:jc w:val="center"/>
        <w:tblLayout w:type="fixed"/>
        <w:tblLook w:val="04A0" w:firstRow="1" w:lastRow="0" w:firstColumn="1" w:lastColumn="0" w:noHBand="0" w:noVBand="1"/>
      </w:tblPr>
      <w:tblGrid>
        <w:gridCol w:w="9360"/>
      </w:tblGrid>
      <w:tr w:rsidR="000F780C" w14:paraId="514D662C" w14:textId="77777777">
        <w:trPr>
          <w:jc w:val="center"/>
        </w:trPr>
        <w:tc>
          <w:tcPr>
            <w:tcW w:w="9360" w:type="dxa"/>
            <w:tcBorders>
              <w:left w:val="single" w:sz="24" w:space="0" w:color="35A29F"/>
            </w:tcBorders>
            <w:shd w:val="clear" w:color="auto" w:fill="F4F6F9"/>
          </w:tcPr>
          <w:p w14:paraId="08D0E77D" w14:textId="77777777" w:rsidR="000F780C" w:rsidRDefault="00000000">
            <w:pPr>
              <w:spacing w:before="80" w:after="80"/>
              <w:jc w:val="center"/>
            </w:pPr>
            <w:r>
              <w:rPr>
                <w:rFonts w:ascii="Courier New" w:hAnsi="Courier New"/>
                <w:b/>
                <w:color w:val="102C57"/>
                <w:sz w:val="21"/>
              </w:rPr>
              <w:t>I[C]_Taylor = lambda * C + lambda * kappa_j * S * dC/dS + 0.5 * lambda * E[Y^2 - 2Y + 1] * S^2 * d^2C/dS^2</w:t>
            </w:r>
          </w:p>
        </w:tc>
      </w:tr>
    </w:tbl>
    <w:p w14:paraId="215595EE" w14:textId="77777777" w:rsidR="000F780C" w:rsidRDefault="00000000">
      <w:pPr>
        <w:spacing w:before="40" w:after="120"/>
      </w:pPr>
      <w:r>
        <w:rPr>
          <w:i/>
          <w:sz w:val="19"/>
        </w:rPr>
        <w:t>Where:</w:t>
      </w:r>
      <w:r>
        <w:rPr>
          <w:i/>
          <w:sz w:val="19"/>
        </w:rPr>
        <w:br/>
        <w:t>E[Y^2 - 2Y + 1] = exp(2 * mu_j + 2 * sigma_j^2) - 2 * (kappa_j + 1) + 1  [Analytical jump variance correction factor].</w:t>
      </w:r>
    </w:p>
    <w:p w14:paraId="6B658D2C" w14:textId="77777777" w:rsidR="000F780C" w:rsidRDefault="00000000">
      <w:pPr>
        <w:keepNext/>
        <w:spacing w:before="360" w:after="120"/>
      </w:pPr>
      <w:r>
        <w:rPr>
          <w:b/>
          <w:color w:val="102C57"/>
          <w:sz w:val="32"/>
        </w:rPr>
        <w:t>4. Performance Metrics &amp; Dimensional Scalability</w:t>
      </w:r>
    </w:p>
    <w:p w14:paraId="31E5B64A" w14:textId="77777777" w:rsidR="000F780C" w:rsidRDefault="00000000">
      <w:pPr>
        <w:spacing w:after="120"/>
      </w:pPr>
      <w:r>
        <w:t>The quantitative comparative metrics demonstrate the outstanding scalability benefits of embedding multi-dimensional PIDE constraints into deep neural processors:</w:t>
      </w:r>
    </w:p>
    <w:tbl>
      <w:tblPr>
        <w:tblW w:w="0" w:type="auto"/>
        <w:jc w:val="center"/>
        <w:tblLayout w:type="fixed"/>
        <w:tblLook w:val="04A0" w:firstRow="1" w:lastRow="0" w:firstColumn="1" w:lastColumn="0" w:noHBand="0" w:noVBand="1"/>
      </w:tblPr>
      <w:tblGrid>
        <w:gridCol w:w="2592"/>
        <w:gridCol w:w="1872"/>
        <w:gridCol w:w="2304"/>
        <w:gridCol w:w="2592"/>
      </w:tblGrid>
      <w:tr w:rsidR="000F780C" w14:paraId="2BF60B08" w14:textId="77777777">
        <w:trPr>
          <w:jc w:val="center"/>
        </w:trPr>
        <w:tc>
          <w:tcPr>
            <w:tcW w:w="2592" w:type="dxa"/>
            <w:shd w:val="clear" w:color="auto" w:fill="102C57"/>
          </w:tcPr>
          <w:p w14:paraId="548EFE89" w14:textId="77777777" w:rsidR="000F780C" w:rsidRDefault="00000000">
            <w:pPr>
              <w:jc w:val="center"/>
            </w:pPr>
            <w:r>
              <w:rPr>
                <w:b/>
                <w:color w:val="FFFFFF"/>
                <w:sz w:val="20"/>
              </w:rPr>
              <w:lastRenderedPageBreak/>
              <w:t>Pricing Methodology</w:t>
            </w:r>
          </w:p>
        </w:tc>
        <w:tc>
          <w:tcPr>
            <w:tcW w:w="1872" w:type="dxa"/>
            <w:shd w:val="clear" w:color="auto" w:fill="102C57"/>
          </w:tcPr>
          <w:p w14:paraId="0CC7BCD1" w14:textId="77777777" w:rsidR="000F780C" w:rsidRDefault="00000000">
            <w:pPr>
              <w:jc w:val="center"/>
            </w:pPr>
            <w:r>
              <w:rPr>
                <w:b/>
                <w:color w:val="FFFFFF"/>
                <w:sz w:val="20"/>
              </w:rPr>
              <w:t>1D Comput. Speed</w:t>
            </w:r>
          </w:p>
        </w:tc>
        <w:tc>
          <w:tcPr>
            <w:tcW w:w="2304" w:type="dxa"/>
            <w:shd w:val="clear" w:color="auto" w:fill="102C57"/>
          </w:tcPr>
          <w:p w14:paraId="65A358BE" w14:textId="77777777" w:rsidR="000F780C" w:rsidRDefault="00000000">
            <w:pPr>
              <w:jc w:val="center"/>
            </w:pPr>
            <w:r>
              <w:rPr>
                <w:b/>
                <w:color w:val="FFFFFF"/>
                <w:sz w:val="20"/>
              </w:rPr>
              <w:t>2D Basket Speed (5D)</w:t>
            </w:r>
          </w:p>
        </w:tc>
        <w:tc>
          <w:tcPr>
            <w:tcW w:w="2592" w:type="dxa"/>
            <w:shd w:val="clear" w:color="auto" w:fill="102C57"/>
          </w:tcPr>
          <w:p w14:paraId="4690616A" w14:textId="77777777" w:rsidR="000F780C" w:rsidRDefault="00000000">
            <w:pPr>
              <w:jc w:val="center"/>
            </w:pPr>
            <w:r>
              <w:rPr>
                <w:b/>
                <w:color w:val="FFFFFF"/>
                <w:sz w:val="20"/>
              </w:rPr>
              <w:t>Extrapolation Generalization</w:t>
            </w:r>
          </w:p>
        </w:tc>
      </w:tr>
      <w:tr w:rsidR="000F780C" w14:paraId="04F4D653" w14:textId="77777777">
        <w:trPr>
          <w:jc w:val="center"/>
        </w:trPr>
        <w:tc>
          <w:tcPr>
            <w:tcW w:w="2592" w:type="dxa"/>
            <w:shd w:val="clear" w:color="auto" w:fill="FFFFFF"/>
          </w:tcPr>
          <w:p w14:paraId="1911FE7C" w14:textId="77777777" w:rsidR="000F780C" w:rsidRDefault="00000000">
            <w:r>
              <w:rPr>
                <w:sz w:val="19"/>
              </w:rPr>
              <w:t>Analytical Fourier</w:t>
            </w:r>
          </w:p>
        </w:tc>
        <w:tc>
          <w:tcPr>
            <w:tcW w:w="1872" w:type="dxa"/>
            <w:shd w:val="clear" w:color="auto" w:fill="FFFFFF"/>
          </w:tcPr>
          <w:p w14:paraId="625CA6F3" w14:textId="77777777" w:rsidR="000F780C" w:rsidRDefault="00000000">
            <w:pPr>
              <w:jc w:val="center"/>
            </w:pPr>
            <w:r>
              <w:rPr>
                <w:sz w:val="19"/>
              </w:rPr>
              <w:t>Instantaneous (&lt;0.002s)</w:t>
            </w:r>
          </w:p>
        </w:tc>
        <w:tc>
          <w:tcPr>
            <w:tcW w:w="2304" w:type="dxa"/>
            <w:shd w:val="clear" w:color="auto" w:fill="FFFFFF"/>
          </w:tcPr>
          <w:p w14:paraId="177D9232" w14:textId="77777777" w:rsidR="000F780C" w:rsidRDefault="00000000">
            <w:pPr>
              <w:jc w:val="center"/>
            </w:pPr>
            <w:r>
              <w:rPr>
                <w:sz w:val="19"/>
              </w:rPr>
              <w:t>N/A (Dimension Bound)</w:t>
            </w:r>
          </w:p>
        </w:tc>
        <w:tc>
          <w:tcPr>
            <w:tcW w:w="2592" w:type="dxa"/>
            <w:shd w:val="clear" w:color="auto" w:fill="FFFFFF"/>
          </w:tcPr>
          <w:p w14:paraId="475E3A71" w14:textId="77777777" w:rsidR="000F780C" w:rsidRDefault="00000000">
            <w:pPr>
              <w:jc w:val="center"/>
            </w:pPr>
            <w:r>
              <w:rPr>
                <w:sz w:val="19"/>
              </w:rPr>
              <w:t>Perfect Exact Benchmark Baseline</w:t>
            </w:r>
          </w:p>
        </w:tc>
      </w:tr>
      <w:tr w:rsidR="000F780C" w14:paraId="2F66F8A9" w14:textId="77777777">
        <w:trPr>
          <w:jc w:val="center"/>
        </w:trPr>
        <w:tc>
          <w:tcPr>
            <w:tcW w:w="2592" w:type="dxa"/>
            <w:shd w:val="clear" w:color="auto" w:fill="F4F6F9"/>
          </w:tcPr>
          <w:p w14:paraId="3FCED664" w14:textId="77777777" w:rsidR="000F780C" w:rsidRDefault="00000000">
            <w:r>
              <w:rPr>
                <w:sz w:val="19"/>
              </w:rPr>
              <w:t>IMEX PIDE Grid Solver</w:t>
            </w:r>
          </w:p>
        </w:tc>
        <w:tc>
          <w:tcPr>
            <w:tcW w:w="1872" w:type="dxa"/>
            <w:shd w:val="clear" w:color="auto" w:fill="F4F6F9"/>
          </w:tcPr>
          <w:p w14:paraId="7D03828E" w14:textId="77777777" w:rsidR="000F780C" w:rsidRDefault="00000000">
            <w:pPr>
              <w:jc w:val="center"/>
            </w:pPr>
            <w:r>
              <w:rPr>
                <w:sz w:val="19"/>
              </w:rPr>
              <w:t>Fast (~0.045s)</w:t>
            </w:r>
          </w:p>
        </w:tc>
        <w:tc>
          <w:tcPr>
            <w:tcW w:w="2304" w:type="dxa"/>
            <w:shd w:val="clear" w:color="auto" w:fill="F4F6F9"/>
          </w:tcPr>
          <w:p w14:paraId="0AB485B0" w14:textId="77777777" w:rsidR="000F780C" w:rsidRDefault="00000000">
            <w:pPr>
              <w:jc w:val="center"/>
            </w:pPr>
            <w:r>
              <w:rPr>
                <w:sz w:val="19"/>
              </w:rPr>
              <w:t>Extremely Slow (&gt;60.0s)</w:t>
            </w:r>
          </w:p>
        </w:tc>
        <w:tc>
          <w:tcPr>
            <w:tcW w:w="2592" w:type="dxa"/>
            <w:shd w:val="clear" w:color="auto" w:fill="F4F6F9"/>
          </w:tcPr>
          <w:p w14:paraId="4A796D68" w14:textId="77777777" w:rsidR="000F780C" w:rsidRDefault="00000000">
            <w:pPr>
              <w:jc w:val="center"/>
            </w:pPr>
            <w:r>
              <w:rPr>
                <w:sz w:val="19"/>
              </w:rPr>
              <w:t>Excellent Grid Boundary Convergence</w:t>
            </w:r>
          </w:p>
        </w:tc>
      </w:tr>
      <w:tr w:rsidR="000F780C" w14:paraId="68100921" w14:textId="77777777">
        <w:trPr>
          <w:jc w:val="center"/>
        </w:trPr>
        <w:tc>
          <w:tcPr>
            <w:tcW w:w="2592" w:type="dxa"/>
            <w:shd w:val="clear" w:color="auto" w:fill="FFFFFF"/>
          </w:tcPr>
          <w:p w14:paraId="1C5E48FC" w14:textId="77777777" w:rsidR="000F780C" w:rsidRDefault="00000000">
            <w:r>
              <w:rPr>
                <w:sz w:val="19"/>
              </w:rPr>
              <w:t>Vectorized Monte Carlo</w:t>
            </w:r>
          </w:p>
        </w:tc>
        <w:tc>
          <w:tcPr>
            <w:tcW w:w="1872" w:type="dxa"/>
            <w:shd w:val="clear" w:color="auto" w:fill="FFFFFF"/>
          </w:tcPr>
          <w:p w14:paraId="68229A00" w14:textId="77777777" w:rsidR="000F780C" w:rsidRDefault="00000000">
            <w:pPr>
              <w:jc w:val="center"/>
            </w:pPr>
            <w:r>
              <w:rPr>
                <w:sz w:val="19"/>
              </w:rPr>
              <w:t>Moderate (~0.15s)</w:t>
            </w:r>
          </w:p>
        </w:tc>
        <w:tc>
          <w:tcPr>
            <w:tcW w:w="2304" w:type="dxa"/>
            <w:shd w:val="clear" w:color="auto" w:fill="FFFFFF"/>
          </w:tcPr>
          <w:p w14:paraId="127AE385" w14:textId="77777777" w:rsidR="000F780C" w:rsidRDefault="00000000">
            <w:pPr>
              <w:jc w:val="center"/>
            </w:pPr>
            <w:r>
              <w:rPr>
                <w:sz w:val="19"/>
              </w:rPr>
              <w:t>Substantial (~1.35s)</w:t>
            </w:r>
          </w:p>
        </w:tc>
        <w:tc>
          <w:tcPr>
            <w:tcW w:w="2592" w:type="dxa"/>
            <w:shd w:val="clear" w:color="auto" w:fill="FFFFFF"/>
          </w:tcPr>
          <w:p w14:paraId="0F771FEA" w14:textId="77777777" w:rsidR="000F780C" w:rsidRDefault="00000000">
            <w:pPr>
              <w:jc w:val="center"/>
            </w:pPr>
            <w:r>
              <w:rPr>
                <w:sz w:val="19"/>
              </w:rPr>
              <w:t>Excellent (High Path Dependency)</w:t>
            </w:r>
          </w:p>
        </w:tc>
      </w:tr>
      <w:tr w:rsidR="000F780C" w14:paraId="44C3B2BE" w14:textId="77777777">
        <w:trPr>
          <w:jc w:val="center"/>
        </w:trPr>
        <w:tc>
          <w:tcPr>
            <w:tcW w:w="2592" w:type="dxa"/>
            <w:shd w:val="clear" w:color="auto" w:fill="F4F6F9"/>
          </w:tcPr>
          <w:p w14:paraId="4A3B2EE0" w14:textId="77777777" w:rsidR="000F780C" w:rsidRDefault="00000000">
            <w:r>
              <w:rPr>
                <w:sz w:val="19"/>
              </w:rPr>
              <w:t>Standard ANN Data-Driven</w:t>
            </w:r>
          </w:p>
        </w:tc>
        <w:tc>
          <w:tcPr>
            <w:tcW w:w="1872" w:type="dxa"/>
            <w:shd w:val="clear" w:color="auto" w:fill="F4F6F9"/>
          </w:tcPr>
          <w:p w14:paraId="5B8212D4" w14:textId="77777777" w:rsidR="000F780C" w:rsidRDefault="00000000">
            <w:pPr>
              <w:jc w:val="center"/>
            </w:pPr>
            <w:r>
              <w:rPr>
                <w:sz w:val="19"/>
              </w:rPr>
              <w:t>Instantaneous (&lt;0.001s)</w:t>
            </w:r>
          </w:p>
        </w:tc>
        <w:tc>
          <w:tcPr>
            <w:tcW w:w="2304" w:type="dxa"/>
            <w:shd w:val="clear" w:color="auto" w:fill="F4F6F9"/>
          </w:tcPr>
          <w:p w14:paraId="2819257C" w14:textId="77777777" w:rsidR="000F780C" w:rsidRDefault="00000000">
            <w:pPr>
              <w:jc w:val="center"/>
            </w:pPr>
            <w:r>
              <w:rPr>
                <w:sz w:val="19"/>
              </w:rPr>
              <w:t>Instantaneous (&lt;0.001s)</w:t>
            </w:r>
          </w:p>
        </w:tc>
        <w:tc>
          <w:tcPr>
            <w:tcW w:w="2592" w:type="dxa"/>
            <w:shd w:val="clear" w:color="auto" w:fill="F4F6F9"/>
          </w:tcPr>
          <w:p w14:paraId="67BFD10C" w14:textId="77777777" w:rsidR="000F780C" w:rsidRDefault="00000000">
            <w:pPr>
              <w:jc w:val="center"/>
            </w:pPr>
            <w:r>
              <w:rPr>
                <w:sz w:val="19"/>
              </w:rPr>
              <w:t>Fails Entirely (Severe Pricing Artifacts)</w:t>
            </w:r>
          </w:p>
        </w:tc>
      </w:tr>
      <w:tr w:rsidR="000F780C" w14:paraId="365AB6D5" w14:textId="77777777">
        <w:trPr>
          <w:jc w:val="center"/>
        </w:trPr>
        <w:tc>
          <w:tcPr>
            <w:tcW w:w="2592" w:type="dxa"/>
            <w:shd w:val="clear" w:color="auto" w:fill="FFFFFF"/>
          </w:tcPr>
          <w:p w14:paraId="22AD06C1" w14:textId="77777777" w:rsidR="000F780C" w:rsidRDefault="00000000">
            <w:r>
              <w:rPr>
                <w:sz w:val="19"/>
              </w:rPr>
              <w:t>Physics-Informed PINN</w:t>
            </w:r>
          </w:p>
        </w:tc>
        <w:tc>
          <w:tcPr>
            <w:tcW w:w="1872" w:type="dxa"/>
            <w:shd w:val="clear" w:color="auto" w:fill="FFFFFF"/>
          </w:tcPr>
          <w:p w14:paraId="62E8EAE2" w14:textId="77777777" w:rsidR="000F780C" w:rsidRDefault="00000000">
            <w:pPr>
              <w:jc w:val="center"/>
            </w:pPr>
            <w:r>
              <w:rPr>
                <w:sz w:val="19"/>
              </w:rPr>
              <w:t>Instantaneous (&lt;0.001s)</w:t>
            </w:r>
          </w:p>
        </w:tc>
        <w:tc>
          <w:tcPr>
            <w:tcW w:w="2304" w:type="dxa"/>
            <w:shd w:val="clear" w:color="auto" w:fill="FFFFFF"/>
          </w:tcPr>
          <w:p w14:paraId="1C87D8F7" w14:textId="77777777" w:rsidR="000F780C" w:rsidRDefault="00000000">
            <w:pPr>
              <w:jc w:val="center"/>
            </w:pPr>
            <w:r>
              <w:rPr>
                <w:sz w:val="19"/>
              </w:rPr>
              <w:t>Instantaneous (&lt;0.001s)</w:t>
            </w:r>
          </w:p>
        </w:tc>
        <w:tc>
          <w:tcPr>
            <w:tcW w:w="2592" w:type="dxa"/>
            <w:shd w:val="clear" w:color="auto" w:fill="FFFFFF"/>
          </w:tcPr>
          <w:p w14:paraId="229B2EAF" w14:textId="77777777" w:rsidR="000F780C" w:rsidRDefault="00000000">
            <w:pPr>
              <w:jc w:val="center"/>
            </w:pPr>
            <w:r>
              <w:rPr>
                <w:sz w:val="19"/>
              </w:rPr>
              <w:t>Excellent (Enforced Arbitrage Bounds)</w:t>
            </w:r>
          </w:p>
        </w:tc>
      </w:tr>
    </w:tbl>
    <w:p w14:paraId="5124D940" w14:textId="77777777" w:rsidR="000F780C" w:rsidRDefault="000F780C">
      <w:pPr>
        <w:spacing w:before="160" w:after="240"/>
      </w:pPr>
    </w:p>
    <w:p w14:paraId="0DAF5E38" w14:textId="77777777" w:rsidR="000F780C" w:rsidRDefault="00000000">
      <w:pPr>
        <w:spacing w:after="120"/>
      </w:pPr>
      <w:r>
        <w:t>While standard finite difference grid solvers encounter critical scale failures due to the interaction of non-local dense integral operators and cross-asset correlation derivatives, trained neural models maintain a sub-milliseconde, constant-time inference execution profile. By appending a customized Softplus terminal activation block, the multi-asset PINN framework structurally guarantees strict compliance with non-negativity laws across the entire global extrapolation domain.</w:t>
      </w:r>
    </w:p>
    <w:p w14:paraId="1BBE4863" w14:textId="77777777" w:rsidR="000F780C" w:rsidRDefault="00000000">
      <w:pPr>
        <w:spacing w:before="360" w:after="0"/>
      </w:pPr>
      <w:r>
        <w:rPr>
          <w:i/>
          <w:color w:val="7F7F7F"/>
          <w:sz w:val="17"/>
        </w:rPr>
        <w:t>This is for informational purposes only. For medical advice or diagnosis, consult a professional. AI responses may include mistakes.</w:t>
      </w:r>
    </w:p>
    <w:sectPr w:rsidR="000F78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6122509">
    <w:abstractNumId w:val="8"/>
  </w:num>
  <w:num w:numId="2" w16cid:durableId="2076277714">
    <w:abstractNumId w:val="6"/>
  </w:num>
  <w:num w:numId="3" w16cid:durableId="2028555414">
    <w:abstractNumId w:val="5"/>
  </w:num>
  <w:num w:numId="4" w16cid:durableId="2114859808">
    <w:abstractNumId w:val="4"/>
  </w:num>
  <w:num w:numId="5" w16cid:durableId="1440174012">
    <w:abstractNumId w:val="7"/>
  </w:num>
  <w:num w:numId="6" w16cid:durableId="1043286853">
    <w:abstractNumId w:val="3"/>
  </w:num>
  <w:num w:numId="7" w16cid:durableId="1273320838">
    <w:abstractNumId w:val="2"/>
  </w:num>
  <w:num w:numId="8" w16cid:durableId="1419211439">
    <w:abstractNumId w:val="1"/>
  </w:num>
  <w:num w:numId="9" w16cid:durableId="124954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B8"/>
    <w:rsid w:val="000F780C"/>
    <w:rsid w:val="0015074B"/>
    <w:rsid w:val="0029639D"/>
    <w:rsid w:val="00326F90"/>
    <w:rsid w:val="006C60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AE42C"/>
  <w14:defaultImageDpi w14:val="300"/>
  <w15:docId w15:val="{DFFE4531-FFE8-E841-BDEC-ED01365A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B2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1177</Words>
  <Characters>7217</Characters>
  <Application>Microsoft Office Word</Application>
  <DocSecurity>0</DocSecurity>
  <Lines>153</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Moureaux</cp:lastModifiedBy>
  <cp:revision>2</cp:revision>
  <dcterms:created xsi:type="dcterms:W3CDTF">2026-10-23T13:13:00Z</dcterms:created>
  <dcterms:modified xsi:type="dcterms:W3CDTF">2026-10-23T13:13:00Z</dcterms:modified>
  <cp:category/>
</cp:coreProperties>
</file>