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915A" w14:textId="5EC51F7C" w:rsidR="00982D2F" w:rsidRPr="002A7D2F" w:rsidRDefault="005C5F30" w:rsidP="005C5F30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TRS on Bonds</w:t>
      </w:r>
      <w:r w:rsidR="007D2650"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 – Explicit difference finite method</w:t>
      </w:r>
    </w:p>
    <w:p w14:paraId="765739A6" w14:textId="2C2548C6" w:rsidR="005C5F30" w:rsidRPr="002A7D2F" w:rsidRDefault="005C5F30" w:rsidP="005C5F30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I – Introduction</w:t>
      </w:r>
    </w:p>
    <w:p w14:paraId="2D65AFA5" w14:textId="03AD6B7C" w:rsidR="003814A1" w:rsidRPr="002A7D2F" w:rsidRDefault="003814A1" w:rsidP="003814A1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Total return swap on debt products; including Bonds, loans, or index like </w:t>
      </w:r>
      <w:proofErr w:type="spellStart"/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IBoxxes</w:t>
      </w:r>
      <w:proofErr w:type="spellEnd"/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, are, functionally speaking, very similar than their “brothers” Total return swap on equities. </w:t>
      </w:r>
      <w:r w:rsidR="00690734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It</w:t>
      </w: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</w:t>
      </w:r>
      <w:r w:rsidR="00690734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shares</w:t>
      </w: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exact same mechanisms (payer/receiver performance against receiver/payer financing) but their pricing in Black-Scholes finite differen</w:t>
      </w:r>
      <w:r w:rsidR="00F34E3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ce</w:t>
      </w: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context </w:t>
      </w:r>
      <w:r w:rsidR="00E66676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highlights</w:t>
      </w: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a second order complexity due to Bond’s underlying, and this paper aims to highlight a model which takes this subtlety into account.</w:t>
      </w:r>
    </w:p>
    <w:p w14:paraId="5F8787C9" w14:textId="7D6B0DC1" w:rsidR="00FF0499" w:rsidRPr="002A7D2F" w:rsidRDefault="00FF0499" w:rsidP="003814A1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Following models assume the next list of assumptions, which will be discussed in final part of this paper:</w:t>
      </w:r>
    </w:p>
    <w:p w14:paraId="0EFBA2D9" w14:textId="26362112" w:rsidR="00FF0499" w:rsidRPr="002A7D2F" w:rsidRDefault="00FF0499" w:rsidP="00FF0499">
      <w:pPr>
        <w:pStyle w:val="Paragraphedeliste"/>
        <w:numPr>
          <w:ilvl w:val="0"/>
          <w:numId w:val="3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TRS is a bullet one, with fixed financing rate.</w:t>
      </w:r>
      <w:r w:rsidR="00E6552E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, assumed to be a performance receiver.</w:t>
      </w:r>
    </w:p>
    <w:p w14:paraId="37F2C6F7" w14:textId="29BEC0F3" w:rsidR="00FF0499" w:rsidRPr="002A7D2F" w:rsidRDefault="00FF0499" w:rsidP="00FF0499">
      <w:pPr>
        <w:pStyle w:val="Paragraphedeliste"/>
        <w:numPr>
          <w:ilvl w:val="0"/>
          <w:numId w:val="3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Bond’s underlying is a coupon-bearing one, without default risk.</w:t>
      </w:r>
    </w:p>
    <w:p w14:paraId="15FCFE0D" w14:textId="65DC9F71" w:rsidR="00C02D68" w:rsidRPr="002A7D2F" w:rsidRDefault="00C02D68" w:rsidP="00FF0499">
      <w:pPr>
        <w:pStyle w:val="Paragraphedeliste"/>
        <w:numPr>
          <w:ilvl w:val="0"/>
          <w:numId w:val="3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Interest rate will follow an equilibrium model.</w:t>
      </w:r>
    </w:p>
    <w:p w14:paraId="5BDD99E6" w14:textId="54700BBE" w:rsidR="00D57AB8" w:rsidRPr="002A7D2F" w:rsidRDefault="00D57AB8" w:rsidP="00FF0499">
      <w:pPr>
        <w:pStyle w:val="Paragraphedeliste"/>
        <w:numPr>
          <w:ilvl w:val="0"/>
          <w:numId w:val="3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Interest rate can be negative.</w:t>
      </w:r>
    </w:p>
    <w:p w14:paraId="340FD1D8" w14:textId="219D64D0" w:rsidR="003814A1" w:rsidRPr="002A7D2F" w:rsidRDefault="00000000" w:rsidP="003814A1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pict w14:anchorId="2E313D28">
          <v:rect id="_x0000_i1025" style="width:0;height:1.5pt" o:hralign="center" o:hrstd="t" o:hr="t" fillcolor="#a0a0a0" stroked="f"/>
        </w:pict>
      </w:r>
    </w:p>
    <w:p w14:paraId="2F7A9439" w14:textId="3FF8F58E" w:rsidR="005C5F30" w:rsidRPr="002A7D2F" w:rsidRDefault="005C5F30" w:rsidP="005C5F30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II – </w:t>
      </w:r>
      <w:r w:rsidR="003814A1"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Bond p</w:t>
      </w: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ricing model</w:t>
      </w:r>
    </w:p>
    <w:p w14:paraId="7C2B3A5C" w14:textId="78AD0AD7" w:rsidR="003814A1" w:rsidRPr="002A7D2F" w:rsidRDefault="003814A1" w:rsidP="003814A1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It’s well-known and especially highlighted in Paul Wilmott’s book that Bond product, contrary to real equity </w:t>
      </w:r>
      <w:r w:rsidRPr="002A7D2F">
        <w:rPr>
          <w:rFonts w:cstheme="minorHAnsi"/>
          <w:i/>
          <w:iCs/>
          <w:color w:val="24292F"/>
          <w:sz w:val="20"/>
          <w:szCs w:val="20"/>
          <w:u w:val="single"/>
          <w:shd w:val="clear" w:color="auto" w:fill="FFFFFF"/>
          <w:lang w:val="en-US"/>
        </w:rPr>
        <w:t>underlying</w:t>
      </w: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, can be in fact seen as a </w:t>
      </w:r>
      <w:r w:rsidRPr="002A7D2F">
        <w:rPr>
          <w:rFonts w:cstheme="minorHAnsi"/>
          <w:i/>
          <w:iCs/>
          <w:color w:val="24292F"/>
          <w:sz w:val="20"/>
          <w:szCs w:val="20"/>
          <w:u w:val="single"/>
          <w:shd w:val="clear" w:color="auto" w:fill="FFFFFF"/>
          <w:lang w:val="en-US"/>
        </w:rPr>
        <w:t>derivative</w:t>
      </w: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on the interest rate, and this latter is the real underlying. As interest rate is not a tradable quantity, a famous scheme involving risk-neutrality is invoked (we don’t highlight it as it’s a “classic” black Scholes derivation than reader can directly, if he’s interested in, find in the book) </w:t>
      </w:r>
      <w:r w:rsidR="00E3776B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to</w:t>
      </w: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find the Bond’s pricing equation:</w:t>
      </w:r>
    </w:p>
    <w:p w14:paraId="3DA968EB" w14:textId="77777777" w:rsidR="003814A1" w:rsidRPr="002A7D2F" w:rsidRDefault="003814A1" w:rsidP="003814A1">
      <w:pPr>
        <w:jc w:val="center"/>
        <w:rPr>
          <w:rFonts w:eastAsiaTheme="minorEastAsia" w:cstheme="minorHAnsi"/>
          <w:i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Bond pricing scheme 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u-λω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-rV=0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dr=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u-λω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dt+ ωdW</m:t>
                  </m:r>
                </m:e>
              </m:eqArr>
            </m:e>
          </m:d>
        </m:oMath>
      </m:oMathPara>
    </w:p>
    <w:p w14:paraId="272ADFBB" w14:textId="77777777" w:rsidR="003814A1" w:rsidRPr="002A7D2F" w:rsidRDefault="003814A1" w:rsidP="003814A1">
      <w:pPr>
        <w:jc w:val="center"/>
        <w:rPr>
          <w:rFonts w:eastAsiaTheme="minorEastAsia" w:cstheme="minorHAnsi"/>
          <w:i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Bond pricing conditions 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r,T,T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=1+c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r,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 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r,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+c</m:t>
                  </m:r>
                </m:e>
              </m:eqArr>
            </m:e>
          </m:d>
        </m:oMath>
      </m:oMathPara>
    </w:p>
    <w:p w14:paraId="50828EC5" w14:textId="735B4091" w:rsidR="003814A1" w:rsidRPr="002A7D2F" w:rsidRDefault="00FF0499" w:rsidP="003814A1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With following notations:</w:t>
      </w:r>
    </w:p>
    <w:p w14:paraId="0EC8E36E" w14:textId="14FEF1C1" w:rsidR="00A017A6" w:rsidRPr="002A7D2F" w:rsidRDefault="00653D85" w:rsidP="00A017A6">
      <w:pPr>
        <w:pStyle w:val="Paragraphedeliste"/>
        <w:numPr>
          <w:ilvl w:val="0"/>
          <w:numId w:val="4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m:oMath>
        <m:r>
          <w:rPr>
            <w:rFonts w:ascii="Cambria Math" w:hAnsi="Cambria Math" w:cstheme="minorHAnsi"/>
            <w:sz w:val="20"/>
            <w:szCs w:val="20"/>
          </w:rPr>
          <m:t>V</m:t>
        </m:r>
      </m:oMath>
      <w:r w:rsidR="00A017A6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the Bond’s </w:t>
      </w: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value.</w:t>
      </w:r>
    </w:p>
    <w:p w14:paraId="10C06287" w14:textId="2D3B1A34" w:rsidR="00FF0499" w:rsidRPr="002A7D2F" w:rsidRDefault="00FF0499" w:rsidP="00FF0499">
      <w:pPr>
        <w:pStyle w:val="Paragraphedeliste"/>
        <w:numPr>
          <w:ilvl w:val="0"/>
          <w:numId w:val="2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m:oMath>
        <m:r>
          <w:rPr>
            <w:rFonts w:ascii="Cambria Math" w:hAnsi="Cambria Math" w:cstheme="minorHAnsi"/>
            <w:sz w:val="20"/>
            <w:szCs w:val="20"/>
          </w:rPr>
          <m:t>ω</m:t>
        </m:r>
      </m:oMath>
      <w:r w:rsidRPr="002A7D2F">
        <w:rPr>
          <w:rFonts w:eastAsiaTheme="minorEastAsia" w:cstheme="minorHAnsi"/>
          <w:sz w:val="20"/>
          <w:szCs w:val="20"/>
          <w:lang w:val="en-GB"/>
        </w:rPr>
        <w:t xml:space="preserve"> the volatility of interest rate dynamic</w:t>
      </w:r>
    </w:p>
    <w:p w14:paraId="4F69038C" w14:textId="4EA45FD7" w:rsidR="00FF0499" w:rsidRPr="002A7D2F" w:rsidRDefault="00FF0499" w:rsidP="00FF0499">
      <w:pPr>
        <w:pStyle w:val="Paragraphedeliste"/>
        <w:numPr>
          <w:ilvl w:val="0"/>
          <w:numId w:val="2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m:oMath>
        <m:r>
          <w:rPr>
            <w:rFonts w:ascii="Cambria Math" w:hAnsi="Cambria Math" w:cstheme="minorHAnsi"/>
            <w:sz w:val="20"/>
            <w:szCs w:val="20"/>
          </w:rPr>
          <m:t>u</m:t>
        </m:r>
      </m:oMath>
      <w:r w:rsidRPr="002A7D2F">
        <w:rPr>
          <w:rFonts w:eastAsiaTheme="minorEastAsia" w:cstheme="minorHAnsi"/>
          <w:sz w:val="20"/>
          <w:szCs w:val="20"/>
          <w:lang w:val="en-GB"/>
        </w:rPr>
        <w:t xml:space="preserve"> the real-world drift of interest rate dynamic</w:t>
      </w:r>
    </w:p>
    <w:p w14:paraId="12FDAC40" w14:textId="227A6627" w:rsidR="00FF0499" w:rsidRPr="002A7D2F" w:rsidRDefault="00FF0499" w:rsidP="00FF0499">
      <w:pPr>
        <w:pStyle w:val="Paragraphedeliste"/>
        <w:numPr>
          <w:ilvl w:val="0"/>
          <w:numId w:val="2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m:oMath>
        <m:r>
          <w:rPr>
            <w:rFonts w:ascii="Cambria Math" w:hAnsi="Cambria Math" w:cstheme="minorHAnsi"/>
            <w:sz w:val="20"/>
            <w:szCs w:val="20"/>
          </w:rPr>
          <m:t>λ</m:t>
        </m:r>
      </m:oMath>
      <w:r w:rsidRPr="002A7D2F">
        <w:rPr>
          <w:rFonts w:eastAsiaTheme="minorEastAsia" w:cstheme="minorHAnsi"/>
          <w:sz w:val="20"/>
          <w:szCs w:val="20"/>
          <w:lang w:val="en-GB"/>
        </w:rPr>
        <w:t xml:space="preserve"> the interest rate market price of risk</w:t>
      </w:r>
    </w:p>
    <w:p w14:paraId="4CAD9C0A" w14:textId="430DA0ED" w:rsidR="00FF0499" w:rsidRPr="002A7D2F" w:rsidRDefault="00FF0499" w:rsidP="00FF0499">
      <w:pPr>
        <w:pStyle w:val="Paragraphedeliste"/>
        <w:numPr>
          <w:ilvl w:val="0"/>
          <w:numId w:val="2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Hence </w:t>
      </w: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u</m:t>
            </m:r>
            <m:r>
              <w:rPr>
                <w:rFonts w:ascii="Cambria Math" w:hAnsi="Cambria Math" w:cstheme="minorHAnsi"/>
                <w:sz w:val="20"/>
                <w:szCs w:val="20"/>
                <w:lang w:val="en-GB"/>
              </w:rPr>
              <m:t>-</m:t>
            </m:r>
            <m:r>
              <w:rPr>
                <w:rFonts w:ascii="Cambria Math" w:hAnsi="Cambria Math" w:cstheme="minorHAnsi"/>
                <w:sz w:val="20"/>
                <w:szCs w:val="20"/>
              </w:rPr>
              <m:t>λω</m:t>
            </m:r>
          </m:e>
        </m:d>
      </m:oMath>
      <w:r w:rsidRPr="002A7D2F">
        <w:rPr>
          <w:rFonts w:eastAsiaTheme="minorEastAsia" w:cstheme="minorHAnsi"/>
          <w:sz w:val="20"/>
          <w:szCs w:val="20"/>
          <w:lang w:val="en-GB"/>
        </w:rPr>
        <w:t xml:space="preserve"> the risk-neutral drift of interest rate dynamic</w:t>
      </w:r>
    </w:p>
    <w:p w14:paraId="7CE38EF1" w14:textId="1F93FBF6" w:rsidR="00FF0499" w:rsidRPr="002A7D2F" w:rsidRDefault="00653D85" w:rsidP="00FF0499">
      <w:pPr>
        <w:pStyle w:val="Paragraphedeliste"/>
        <w:numPr>
          <w:ilvl w:val="0"/>
          <w:numId w:val="2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m:oMath>
        <m:r>
          <w:rPr>
            <w:rFonts w:ascii="Cambria Math" w:hAnsi="Cambria Math" w:cstheme="minorHAnsi"/>
            <w:sz w:val="20"/>
            <w:szCs w:val="20"/>
          </w:rPr>
          <m:t>c</m:t>
        </m:r>
      </m:oMath>
      <w:r w:rsidR="00FF0499" w:rsidRPr="002A7D2F">
        <w:rPr>
          <w:rFonts w:eastAsiaTheme="minorEastAsia" w:cstheme="minorHAnsi"/>
          <w:sz w:val="20"/>
          <w:szCs w:val="20"/>
          <w:lang w:val="en-GB"/>
        </w:rPr>
        <w:t xml:space="preserve"> coupon payments</w:t>
      </w:r>
    </w:p>
    <w:p w14:paraId="5BDEC73F" w14:textId="6C5B000B" w:rsidR="00FF0499" w:rsidRPr="002A7D2F" w:rsidRDefault="00653D85" w:rsidP="00FF0499">
      <w:pPr>
        <w:pStyle w:val="Paragraphedeliste"/>
        <w:numPr>
          <w:ilvl w:val="0"/>
          <w:numId w:val="2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m:oMath>
        <m:r>
          <w:rPr>
            <w:rFonts w:ascii="Cambria Math" w:hAnsi="Cambria Math" w:cstheme="minorHAnsi"/>
            <w:sz w:val="20"/>
            <w:szCs w:val="20"/>
          </w:rPr>
          <m:t>T</m:t>
        </m:r>
      </m:oMath>
      <w:r w:rsidR="00FF0499" w:rsidRPr="002A7D2F">
        <w:rPr>
          <w:rFonts w:eastAsiaTheme="minorEastAsia" w:cstheme="minorHAnsi"/>
          <w:sz w:val="20"/>
          <w:szCs w:val="20"/>
          <w:lang w:val="en-GB"/>
        </w:rPr>
        <w:t xml:space="preserve"> the Bond’s maturity</w:t>
      </w:r>
    </w:p>
    <w:p w14:paraId="17BF7CC8" w14:textId="4F3AA617" w:rsidR="00A017A6" w:rsidRPr="002A7D2F" w:rsidRDefault="00653D85" w:rsidP="00FF0499">
      <w:pPr>
        <w:pStyle w:val="Paragraphedeliste"/>
        <w:numPr>
          <w:ilvl w:val="0"/>
          <w:numId w:val="2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m:oMath>
        <m:r>
          <w:rPr>
            <w:rFonts w:ascii="Cambria Math" w:hAnsi="Cambria Math" w:cstheme="minorHAnsi"/>
            <w:sz w:val="20"/>
            <w:szCs w:val="20"/>
          </w:rPr>
          <m:t>W</m:t>
        </m:r>
      </m:oMath>
      <w:r w:rsidR="00A017A6" w:rsidRPr="002A7D2F">
        <w:rPr>
          <w:rFonts w:eastAsiaTheme="minorEastAsia" w:cstheme="minorHAnsi"/>
          <w:sz w:val="20"/>
          <w:szCs w:val="20"/>
          <w:lang w:val="en-GB"/>
        </w:rPr>
        <w:t xml:space="preserve"> a Brownian motion</w:t>
      </w:r>
    </w:p>
    <w:p w14:paraId="1078D583" w14:textId="06A3AA4E" w:rsidR="002A7D2F" w:rsidRPr="002A7D2F" w:rsidRDefault="000A4465" w:rsidP="000A4465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To find Bond’s price, the classical backward resolution (here through explicit Euler scheme) should be achieved</w:t>
      </w:r>
      <w:r w:rsidR="00132A99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using two-dimensional grid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24292F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</w:rPr>
              <m:t>t</m:t>
            </m:r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24292F"/>
                    <w:sz w:val="20"/>
                    <w:szCs w:val="2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TRS</m:t>
                    </m:r>
                  </m:sup>
                </m:sSup>
                <m:r>
                  <w:rPr>
                    <w:rFonts w:ascii="Cambria Math" w:hAnsi="Cambria Math" w:cstheme="minorHAnsi"/>
                    <w:color w:val="24292F"/>
                    <w:sz w:val="20"/>
                    <w:szCs w:val="20"/>
                    <w:shd w:val="clear" w:color="auto" w:fill="FFFFFF"/>
                    <w:lang w:val="en-US"/>
                  </w:rPr>
                  <m:t>,</m:t>
                </m:r>
                <m:r>
                  <w:rPr>
                    <w:rFonts w:ascii="Cambria Math" w:hAnsi="Cambria Math" w:cstheme="minorHAnsi"/>
                    <w:color w:val="24292F"/>
                    <w:sz w:val="20"/>
                    <w:szCs w:val="20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</w:rPr>
              <m:t>r</m:t>
            </m:r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24292F"/>
                    <w:sz w:val="20"/>
                    <w:szCs w:val="2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F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min</m:t>
                    </m:r>
                  </m:sup>
                </m:sSup>
                <m:r>
                  <w:rPr>
                    <w:rFonts w:ascii="Cambria Math" w:hAnsi="Cambria Math" w:cstheme="minorHAnsi"/>
                    <w:color w:val="24292F"/>
                    <w:sz w:val="20"/>
                    <w:szCs w:val="20"/>
                    <w:shd w:val="clear" w:color="auto" w:fill="FFFFFF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F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</m:sup>
                </m:sSup>
              </m:e>
            </m:d>
          </m:e>
        </m:d>
      </m:oMath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</w:t>
      </w:r>
      <w:r w:rsidR="00132A99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. A</w:t>
      </w: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specific attention </w:t>
      </w:r>
      <w:proofErr w:type="gramStart"/>
      <w:r w:rsidR="002160D7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point</w:t>
      </w:r>
      <w:proofErr w:type="gramEnd"/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about jump condition before/after coupon payment.</w:t>
      </w:r>
    </w:p>
    <w:p w14:paraId="04B92D14" w14:textId="69B2C39F" w:rsidR="000A4465" w:rsidRPr="002A7D2F" w:rsidRDefault="00000000" w:rsidP="000A4465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pict w14:anchorId="3C38CA39">
          <v:rect id="_x0000_i1026" style="width:0;height:1.5pt" o:hralign="center" o:hrstd="t" o:hr="t" fillcolor="#a0a0a0" stroked="f"/>
        </w:pict>
      </w:r>
    </w:p>
    <w:p w14:paraId="74491C62" w14:textId="77777777" w:rsidR="002A7D2F" w:rsidRDefault="002A7D2F" w:rsidP="00C02D6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C38B4B8" w14:textId="77777777" w:rsidR="002A7D2F" w:rsidRDefault="002A7D2F" w:rsidP="00C02D6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B1F318B" w14:textId="77777777" w:rsidR="002A7D2F" w:rsidRDefault="002A7D2F" w:rsidP="00C02D6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D2F863A" w14:textId="77777777" w:rsidR="002A7D2F" w:rsidRDefault="002A7D2F" w:rsidP="00C02D6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AFD3067" w14:textId="26BC9F14" w:rsidR="00986C8D" w:rsidRPr="002A7D2F" w:rsidRDefault="00986C8D" w:rsidP="00C02D6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lastRenderedPageBreak/>
        <w:t>II</w:t>
      </w:r>
      <w:r w:rsidR="00D57AB8"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I</w:t>
      </w: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 – TRS pricing model</w:t>
      </w:r>
    </w:p>
    <w:p w14:paraId="758C0FB9" w14:textId="27E5770F" w:rsidR="00956527" w:rsidRPr="002A7D2F" w:rsidRDefault="0001271C" w:rsidP="0001271C">
      <w:p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The</w:t>
      </w:r>
      <w:r w:rsidR="00956527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TRS</w:t>
      </w:r>
      <w:r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pricing scheme is very similar to </w:t>
      </w:r>
      <w:r w:rsidR="00956527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equity </w:t>
      </w:r>
      <w:r w:rsidRPr="002A7D2F">
        <w:rPr>
          <w:rFonts w:eastAsiaTheme="minorEastAsia" w:cstheme="minorHAnsi"/>
          <w:iCs/>
          <w:sz w:val="20"/>
          <w:szCs w:val="20"/>
          <w:lang w:val="en-US"/>
        </w:rPr>
        <w:t>compound options</w:t>
      </w:r>
      <w:r w:rsidR="00956527" w:rsidRPr="002A7D2F">
        <w:rPr>
          <w:rFonts w:eastAsiaTheme="minorEastAsia" w:cstheme="minorHAnsi"/>
          <w:iCs/>
          <w:sz w:val="20"/>
          <w:szCs w:val="20"/>
          <w:lang w:val="en-US"/>
        </w:rPr>
        <w:t>/bond options</w:t>
      </w:r>
      <w:r w:rsidR="00234A06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schemes, with second-order feature:</w:t>
      </w:r>
    </w:p>
    <w:p w14:paraId="475B7AB3" w14:textId="5EF5C4DB" w:rsidR="0001271C" w:rsidRPr="002A7D2F" w:rsidRDefault="00956527" w:rsidP="00956527">
      <w:pPr>
        <w:pStyle w:val="Paragraphedeliste"/>
        <w:numPr>
          <w:ilvl w:val="0"/>
          <w:numId w:val="1"/>
        </w:num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The</w:t>
      </w:r>
      <w:r w:rsidR="0001271C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previous</w:t>
      </w:r>
      <w:r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bond’s scheme</w:t>
      </w:r>
      <w:r w:rsidR="0001271C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is solved (still backward) from </w:t>
      </w:r>
      <m:oMath>
        <m:r>
          <w:rPr>
            <w:rFonts w:ascii="Cambria Math" w:hAnsi="Cambria Math" w:cstheme="minorHAnsi"/>
            <w:sz w:val="20"/>
            <w:szCs w:val="20"/>
          </w:rPr>
          <m:t>T</m:t>
        </m:r>
      </m:oMath>
      <w:r w:rsidR="0001271C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TRS</m:t>
            </m:r>
          </m:sup>
        </m:sSup>
      </m:oMath>
      <w:r w:rsidR="0001271C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, </w:t>
      </w:r>
      <w:r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which </w:t>
      </w:r>
      <w:r w:rsidR="00FF4F39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gives a set of </w:t>
      </w:r>
      <w:r w:rsidR="00986B60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prices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TRS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24292F"/>
                    <w:sz w:val="20"/>
                    <w:szCs w:val="2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F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min</m:t>
                    </m:r>
                  </m:sup>
                </m:sSup>
                <m:r>
                  <w:rPr>
                    <w:rFonts w:ascii="Cambria Math" w:hAnsi="Cambria Math" w:cstheme="minorHAnsi"/>
                    <w:color w:val="24292F"/>
                    <w:sz w:val="20"/>
                    <w:szCs w:val="20"/>
                    <w:shd w:val="clear" w:color="auto" w:fill="FFFFFF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F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</m:sup>
                </m:sSup>
              </m:e>
            </m:d>
          </m:sub>
        </m:sSub>
      </m:oMath>
      <w:r w:rsidR="00CA4BB8" w:rsidRPr="002A7D2F">
        <w:rPr>
          <w:rFonts w:eastAsiaTheme="minorEastAsia" w:cstheme="minorHAnsi"/>
          <w:iCs/>
          <w:sz w:val="20"/>
          <w:szCs w:val="20"/>
          <w:lang w:val="en-US"/>
        </w:rPr>
        <w:t>.</w:t>
      </w:r>
    </w:p>
    <w:p w14:paraId="4D00827F" w14:textId="049A1227" w:rsidR="00CA4BB8" w:rsidRPr="002A7D2F" w:rsidRDefault="00CA4BB8" w:rsidP="00956527">
      <w:pPr>
        <w:pStyle w:val="Paragraphedeliste"/>
        <w:numPr>
          <w:ilvl w:val="0"/>
          <w:numId w:val="1"/>
        </w:num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Then the outer scheme is solved following equations</w:t>
      </w:r>
      <w:r w:rsidR="000D2180" w:rsidRPr="002A7D2F">
        <w:rPr>
          <w:rFonts w:eastAsiaTheme="minorEastAsia" w:cstheme="minorHAnsi"/>
          <w:iCs/>
          <w:sz w:val="20"/>
          <w:szCs w:val="20"/>
          <w:lang w:val="en-US"/>
        </w:rPr>
        <w:t>, as the TRS is also a derivative on interest rate in this context, through its dependency to Bond’s price:</w:t>
      </w:r>
    </w:p>
    <w:p w14:paraId="5BE3CF70" w14:textId="561EACCF" w:rsidR="0001271C" w:rsidRPr="002A7D2F" w:rsidRDefault="00CA4BB8" w:rsidP="0001271C">
      <w:pPr>
        <w:jc w:val="center"/>
        <w:rPr>
          <w:rFonts w:eastAsiaTheme="minorEastAsia" w:cstheme="minorHAnsi"/>
          <w:i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TRS pricing scheme 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∂TRS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u-λω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∂TRS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-rTRS=0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dr=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u-λω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dt+ ωdW</m:t>
                  </m:r>
                </m:e>
              </m:eqArr>
            </m:e>
          </m:d>
        </m:oMath>
      </m:oMathPara>
    </w:p>
    <w:p w14:paraId="42413069" w14:textId="4E6D302B" w:rsidR="0001271C" w:rsidRPr="002A7D2F" w:rsidRDefault="00CA4BB8" w:rsidP="0091179E">
      <w:pPr>
        <w:jc w:val="center"/>
        <w:rPr>
          <w:rFonts w:eastAsiaTheme="minorEastAsia" w:cstheme="minorHAnsi"/>
          <w:i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TRS pricing conditions 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TRS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TRS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TRS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-K-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TRS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TRS</m:t>
                      </m:r>
                    </m:sup>
                  </m:sSup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TRS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r,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 TRS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r,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+c</m:t>
                  </m:r>
                </m:e>
              </m:eqArr>
            </m:e>
          </m:d>
        </m:oMath>
      </m:oMathPara>
    </w:p>
    <w:p w14:paraId="2504004F" w14:textId="436C8C0E" w:rsidR="004B1F2C" w:rsidRPr="002A7D2F" w:rsidRDefault="004B1F2C" w:rsidP="004B1F2C">
      <w:p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With additional notations:</w:t>
      </w:r>
    </w:p>
    <w:p w14:paraId="5B81C968" w14:textId="2795FE3F" w:rsidR="004B1F2C" w:rsidRPr="002A7D2F" w:rsidRDefault="004B1F2C" w:rsidP="004B1F2C">
      <w:pPr>
        <w:pStyle w:val="Paragraphedeliste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  <w:lang w:val="en-US"/>
        </w:rPr>
      </w:pPr>
      <m:oMath>
        <m:r>
          <w:rPr>
            <w:rFonts w:ascii="Cambria Math" w:hAnsi="Cambria Math" w:cstheme="minorHAnsi"/>
            <w:sz w:val="20"/>
            <w:szCs w:val="20"/>
          </w:rPr>
          <m:t>TRS</m:t>
        </m:r>
      </m:oMath>
      <w:r w:rsidRPr="002A7D2F">
        <w:rPr>
          <w:rFonts w:eastAsiaTheme="minorEastAsia" w:cstheme="minorHAnsi"/>
          <w:sz w:val="20"/>
          <w:szCs w:val="20"/>
          <w:lang w:val="en-GB"/>
        </w:rPr>
        <w:t xml:space="preserve"> the TRS market value</w:t>
      </w:r>
    </w:p>
    <w:p w14:paraId="40477095" w14:textId="559A5823" w:rsidR="004B1F2C" w:rsidRPr="002A7D2F" w:rsidRDefault="004B1F2C" w:rsidP="004B1F2C">
      <w:pPr>
        <w:pStyle w:val="Paragraphedeliste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K</m:t>
        </m:r>
      </m:oMath>
      <w:r w:rsidRPr="002A7D2F">
        <w:rPr>
          <w:rFonts w:eastAsiaTheme="minorEastAsia" w:cstheme="minorHAnsi"/>
          <w:sz w:val="20"/>
          <w:szCs w:val="20"/>
          <w:lang w:val="en-US"/>
        </w:rPr>
        <w:t xml:space="preserve"> the TRS settlement price (aka strike)</w:t>
      </w:r>
    </w:p>
    <w:p w14:paraId="1D340E9C" w14:textId="1BA61250" w:rsidR="004B1F2C" w:rsidRPr="002A7D2F" w:rsidRDefault="00000000" w:rsidP="004B1F2C">
      <w:pPr>
        <w:pStyle w:val="Paragraphedeliste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TRS</m:t>
            </m:r>
          </m:sub>
        </m:sSub>
      </m:oMath>
      <w:r w:rsidR="004B1F2C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the fixed and agreed TRS financing spread.</w:t>
      </w:r>
    </w:p>
    <w:p w14:paraId="12B150EA" w14:textId="2CEBBF3A" w:rsidR="004B1F2C" w:rsidRPr="002A7D2F" w:rsidRDefault="00000000" w:rsidP="004B1F2C">
      <w:pPr>
        <w:pStyle w:val="Paragraphedeliste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TRS</m:t>
            </m:r>
          </m:sup>
        </m:sSup>
      </m:oMath>
      <w:r w:rsidR="004B1F2C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the TRS maturity</w:t>
      </w:r>
    </w:p>
    <w:p w14:paraId="1C081F36" w14:textId="36F65DEC" w:rsidR="00147434" w:rsidRPr="002A7D2F" w:rsidRDefault="00147434" w:rsidP="00147434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To find TRS market value, once again the classical backward resolution is done using two-dimensional grid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24292F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</w:rPr>
              <m:t>t</m:t>
            </m:r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24292F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color w:val="24292F"/>
                    <w:sz w:val="20"/>
                    <w:szCs w:val="20"/>
                    <w:shd w:val="clear" w:color="auto" w:fill="FFFFFF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TRS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</w:rPr>
              <m:t>r</m:t>
            </m:r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24292F"/>
                    <w:sz w:val="20"/>
                    <w:szCs w:val="2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F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min</m:t>
                    </m:r>
                  </m:sup>
                </m:sSup>
                <m:r>
                  <w:rPr>
                    <w:rFonts w:ascii="Cambria Math" w:hAnsi="Cambria Math" w:cstheme="minorHAnsi"/>
                    <w:color w:val="24292F"/>
                    <w:sz w:val="20"/>
                    <w:szCs w:val="20"/>
                    <w:shd w:val="clear" w:color="auto" w:fill="FFFFFF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F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F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</m:sup>
                </m:sSup>
              </m:e>
            </m:d>
          </m:e>
        </m:d>
      </m:oMath>
      <w:r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.</w:t>
      </w:r>
      <w:r w:rsidR="002160D7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We should again point the jump condition after Bond’s </w:t>
      </w:r>
      <w:r w:rsidR="00E66676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coupon </w:t>
      </w:r>
      <w:r w:rsidR="002160D7" w:rsidRPr="002A7D2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payment, which is part of the performance.</w:t>
      </w:r>
    </w:p>
    <w:p w14:paraId="237412B1" w14:textId="6EB18ED5" w:rsidR="004B1F2C" w:rsidRPr="002A7D2F" w:rsidRDefault="00000000" w:rsidP="004B1F2C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pict w14:anchorId="3B05367D">
          <v:rect id="_x0000_i1027" style="width:0;height:1.5pt" o:hralign="center" o:hrstd="t" o:hr="t" fillcolor="#a0a0a0" stroked="f"/>
        </w:pict>
      </w:r>
    </w:p>
    <w:p w14:paraId="2D4A4500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56BF5FF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7EAB09C7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451F9C70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5CCE841E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59CB8A88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25C7763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1341E535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25DF224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093E2A65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13043873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DB030E7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579EA8C1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73B14A3D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A3EFBF3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8DA39B7" w14:textId="77777777" w:rsidR="002A7D2F" w:rsidRDefault="002A7D2F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13A6C4B5" w14:textId="4D545F56" w:rsidR="00D57AB8" w:rsidRPr="002A7D2F" w:rsidRDefault="00D57AB8" w:rsidP="00D57AB8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lastRenderedPageBreak/>
        <w:t>IV – Finite difference algorithm</w:t>
      </w:r>
    </w:p>
    <w:p w14:paraId="361068AA" w14:textId="0C8D277B" w:rsidR="00162DA5" w:rsidRPr="002A7D2F" w:rsidRDefault="00162DA5" w:rsidP="00162DA5">
      <w:p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As we especially excluded non-negativity assumption for interest rate (</w:t>
      </w:r>
      <w:r w:rsidR="00D57AB8" w:rsidRPr="002A7D2F">
        <w:rPr>
          <w:rFonts w:eastAsiaTheme="minorEastAsia" w:cstheme="minorHAnsi"/>
          <w:iCs/>
          <w:sz w:val="20"/>
          <w:szCs w:val="20"/>
          <w:lang w:val="en-US"/>
        </w:rPr>
        <w:t>to</w:t>
      </w:r>
      <w:r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tackle possible negative interest), the </w:t>
      </w:r>
      <w:r w:rsidR="00CD3968" w:rsidRPr="002A7D2F">
        <w:rPr>
          <w:rFonts w:eastAsiaTheme="minorEastAsia" w:cstheme="minorHAnsi"/>
          <w:iCs/>
          <w:sz w:val="20"/>
          <w:szCs w:val="20"/>
          <w:lang w:val="en-US"/>
        </w:rPr>
        <w:t>“</w:t>
      </w:r>
      <w:r w:rsidRPr="002A7D2F">
        <w:rPr>
          <w:rFonts w:eastAsiaTheme="minorEastAsia" w:cstheme="minorHAnsi"/>
          <w:iCs/>
          <w:sz w:val="20"/>
          <w:szCs w:val="20"/>
          <w:lang w:val="en-US"/>
        </w:rPr>
        <w:t>natural</w:t>
      </w:r>
      <w:r w:rsidR="00CD3968" w:rsidRPr="002A7D2F">
        <w:rPr>
          <w:rFonts w:eastAsiaTheme="minorEastAsia" w:cstheme="minorHAnsi"/>
          <w:iCs/>
          <w:sz w:val="20"/>
          <w:szCs w:val="20"/>
          <w:lang w:val="en-US"/>
        </w:rPr>
        <w:t>” (natural choice for an equilibrium model, as please remember that we took this assumption)</w:t>
      </w:r>
      <w:r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choice for risk-neural interest rate </w:t>
      </w:r>
      <w:r w:rsidR="00E37EAE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dynamic is </w:t>
      </w:r>
      <w:proofErr w:type="spellStart"/>
      <w:r w:rsidR="00E37EAE" w:rsidRPr="002A7D2F">
        <w:rPr>
          <w:rFonts w:eastAsiaTheme="minorEastAsia" w:cstheme="minorHAnsi"/>
          <w:iCs/>
          <w:sz w:val="20"/>
          <w:szCs w:val="20"/>
          <w:lang w:val="en-US"/>
        </w:rPr>
        <w:t>Vasicek</w:t>
      </w:r>
      <w:proofErr w:type="spellEnd"/>
      <w:r w:rsidR="00E37EAE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model:</w:t>
      </w:r>
    </w:p>
    <w:p w14:paraId="2F671CC8" w14:textId="247E0958" w:rsidR="00E37EAE" w:rsidRPr="002A7D2F" w:rsidRDefault="00E37EAE" w:rsidP="00162DA5">
      <w:pPr>
        <w:rPr>
          <w:rFonts w:eastAsiaTheme="minorEastAsia" w:cstheme="minorHAnsi"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 xml:space="preserve">β- 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dt+ σd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sub>
          </m:sSub>
        </m:oMath>
      </m:oMathPara>
    </w:p>
    <w:p w14:paraId="123929F2" w14:textId="0A2A1F23" w:rsidR="00E66676" w:rsidRPr="002A7D2F" w:rsidRDefault="00E66676" w:rsidP="00162DA5">
      <w:p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With following notations:</w:t>
      </w:r>
    </w:p>
    <w:p w14:paraId="52AF4316" w14:textId="6F8EA411" w:rsidR="00E66676" w:rsidRPr="002A7D2F" w:rsidRDefault="00E66676" w:rsidP="00E66676">
      <w:pPr>
        <w:pStyle w:val="Paragraphedeliste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 xml:space="preserve">α </m:t>
        </m:r>
      </m:oMath>
      <w:r w:rsidRPr="002A7D2F">
        <w:rPr>
          <w:rFonts w:eastAsiaTheme="minorEastAsia" w:cstheme="minorHAnsi"/>
          <w:sz w:val="20"/>
          <w:szCs w:val="20"/>
          <w:lang w:val="en-GB"/>
        </w:rPr>
        <w:t>the interest rate speed reversion to long-term mean</w:t>
      </w:r>
    </w:p>
    <w:p w14:paraId="0CF948FA" w14:textId="2C1419A9" w:rsidR="00E66676" w:rsidRPr="002A7D2F" w:rsidRDefault="00E66676" w:rsidP="00162DA5">
      <w:pPr>
        <w:pStyle w:val="Paragraphedeliste"/>
        <w:numPr>
          <w:ilvl w:val="0"/>
          <w:numId w:val="5"/>
        </w:numPr>
        <w:rPr>
          <w:rFonts w:eastAsiaTheme="minorEastAsia" w:cstheme="minorHAnsi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β</m:t>
        </m:r>
      </m:oMath>
      <w:r w:rsidRPr="002A7D2F">
        <w:rPr>
          <w:rFonts w:eastAsiaTheme="minorEastAsia" w:cstheme="minorHAnsi"/>
          <w:sz w:val="20"/>
          <w:szCs w:val="20"/>
          <w:lang w:val="en-US"/>
        </w:rPr>
        <w:t xml:space="preserve"> the interest rate long-term mean.</w:t>
      </w:r>
    </w:p>
    <w:p w14:paraId="36287EA3" w14:textId="4D5F232F" w:rsidR="004F3384" w:rsidRPr="002A7D2F" w:rsidRDefault="004F3384" w:rsidP="00162DA5">
      <w:p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Pricing schemes then became, respectively for Bond and for TRS:</w:t>
      </w:r>
    </w:p>
    <w:p w14:paraId="55D5AAE6" w14:textId="7E8BD94C" w:rsidR="00695560" w:rsidRPr="002A7D2F" w:rsidRDefault="00695560" w:rsidP="00162DA5">
      <w:pPr>
        <w:rPr>
          <w:rFonts w:eastAsiaTheme="minorEastAsia" w:cstheme="minorHAnsi"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pricing schemes 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β-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β-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561C45EC" w14:textId="57D7D443" w:rsidR="007D2650" w:rsidRPr="002A7D2F" w:rsidRDefault="00000000" w:rsidP="00162DA5">
      <w:pPr>
        <w:rPr>
          <w:rFonts w:eastAsiaTheme="minorEastAsia" w:cstheme="minorHAnsi"/>
          <w:iCs/>
          <w:sz w:val="20"/>
          <w:szCs w:val="20"/>
          <w:lang w:val="en-US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Euler discretization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t+1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k-1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(δr)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β- 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2δr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t+1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k-1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(δr)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β- 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2δr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6DCA2FEA" w14:textId="56B25787" w:rsidR="0084297E" w:rsidRPr="002A7D2F" w:rsidRDefault="00000000" w:rsidP="0084297E">
      <w:pPr>
        <w:rPr>
          <w:rFonts w:eastAsiaTheme="minorEastAsia" w:cstheme="minorHAnsi"/>
          <w:iCs/>
          <w:sz w:val="20"/>
          <w:szCs w:val="20"/>
          <w:lang w:val="en-US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⟹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k+1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k+1</m:t>
                      </m:r>
                    </m:sup>
                  </m:sSubSup>
                </m:e>
              </m:eqArr>
            </m:e>
          </m:d>
        </m:oMath>
      </m:oMathPara>
    </w:p>
    <w:p w14:paraId="381FE535" w14:textId="61845B33" w:rsidR="004C141F" w:rsidRPr="002A7D2F" w:rsidRDefault="009B2052" w:rsidP="00147434">
      <w:p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With:</w:t>
      </w:r>
    </w:p>
    <w:p w14:paraId="2DAB983B" w14:textId="52B287CF" w:rsidR="009B2052" w:rsidRPr="002A7D2F" w:rsidRDefault="0034028E" w:rsidP="00147434">
      <w:pPr>
        <w:rPr>
          <w:rFonts w:eastAsiaTheme="minorEastAsia" w:cstheme="minorHAnsi"/>
          <w:b/>
          <w:bCs/>
          <w:i/>
          <w:iCs/>
          <w:sz w:val="20"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( inner grid points)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2δr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δr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 xml:space="preserve">β-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δr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δt+1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2δr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δr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 xml:space="preserve">β-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1C289BD9" w14:textId="042420F5" w:rsidR="009B2052" w:rsidRDefault="008F435D" w:rsidP="00147434">
      <w:p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This discretized scheme will be followed for both Bond (inner scheme) and eventually TRS (outer scheme), taking into respective final and jump conditions.</w:t>
      </w:r>
    </w:p>
    <w:p w14:paraId="791107C7" w14:textId="5B2D45D4" w:rsidR="00DF76F2" w:rsidRDefault="00DF76F2" w:rsidP="00147434">
      <w:pPr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 xml:space="preserve">The previous scheme should be used for inner grid </w:t>
      </w:r>
      <w:r w:rsidR="00B64AD9">
        <w:rPr>
          <w:rFonts w:eastAsiaTheme="minorEastAsia" w:cstheme="minorHAnsi"/>
          <w:iCs/>
          <w:sz w:val="20"/>
          <w:szCs w:val="20"/>
          <w:lang w:val="en-US"/>
        </w:rPr>
        <w:t>points,</w:t>
      </w:r>
      <w:r>
        <w:rPr>
          <w:rFonts w:eastAsiaTheme="minorEastAsia" w:cstheme="minorHAnsi"/>
          <w:iCs/>
          <w:sz w:val="20"/>
          <w:szCs w:val="20"/>
          <w:lang w:val="en-US"/>
        </w:rPr>
        <w:t xml:space="preserve"> but we need to modify a b</w:t>
      </w:r>
      <w:r w:rsidR="009235B7">
        <w:rPr>
          <w:rFonts w:eastAsiaTheme="minorEastAsia" w:cstheme="minorHAnsi"/>
          <w:iCs/>
          <w:sz w:val="20"/>
          <w:szCs w:val="20"/>
          <w:lang w:val="en-US"/>
        </w:rPr>
        <w:t>i</w:t>
      </w:r>
      <w:r>
        <w:rPr>
          <w:rFonts w:eastAsiaTheme="minorEastAsia" w:cstheme="minorHAnsi"/>
          <w:iCs/>
          <w:sz w:val="20"/>
          <w:szCs w:val="20"/>
          <w:lang w:val="en-US"/>
        </w:rPr>
        <w:t xml:space="preserve">t </w:t>
      </w:r>
      <w:r w:rsidR="004C2148">
        <w:rPr>
          <w:rFonts w:eastAsiaTheme="minorEastAsia" w:cstheme="minorHAnsi"/>
          <w:iCs/>
          <w:sz w:val="20"/>
          <w:szCs w:val="20"/>
          <w:lang w:val="en-US"/>
        </w:rPr>
        <w:t>the</w:t>
      </w:r>
      <w:r>
        <w:rPr>
          <w:rFonts w:eastAsiaTheme="minorEastAsia" w:cstheme="minorHAnsi"/>
          <w:iCs/>
          <w:sz w:val="20"/>
          <w:szCs w:val="20"/>
          <w:lang w:val="en-US"/>
        </w:rPr>
        <w:t xml:space="preserve"> discretization for lower/upper interest rate of the grid:</w:t>
      </w:r>
    </w:p>
    <w:p w14:paraId="0F9C41FA" w14:textId="20B39BE5" w:rsidR="00DF76F2" w:rsidRPr="00DF76F2" w:rsidRDefault="00DF76F2" w:rsidP="00147434">
      <w:pPr>
        <w:rPr>
          <w:rFonts w:eastAsiaTheme="minorEastAsia" w:cstheme="minorHAnsi"/>
          <w:iCs/>
          <w:sz w:val="20"/>
          <w:szCs w:val="20"/>
          <w:u w:val="single"/>
          <w:lang w:val="en-US"/>
        </w:rPr>
      </w:pPr>
      <w:r w:rsidRPr="00DF76F2">
        <w:rPr>
          <w:rFonts w:eastAsiaTheme="minorEastAsia" w:cstheme="minorHAnsi"/>
          <w:iCs/>
          <w:sz w:val="20"/>
          <w:szCs w:val="20"/>
          <w:u w:val="single"/>
          <w:lang w:val="en-US"/>
        </w:rPr>
        <w:t>Lower limit case:</w:t>
      </w:r>
    </w:p>
    <w:p w14:paraId="257057B7" w14:textId="509597A9" w:rsidR="00DF76F2" w:rsidRDefault="00DF76F2" w:rsidP="00DF76F2">
      <w:pPr>
        <w:pStyle w:val="Paragraphedeliste"/>
        <w:numPr>
          <w:ilvl w:val="0"/>
          <w:numId w:val="12"/>
        </w:numPr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 xml:space="preserve">The first order derivative, initially calculated using central finite difference, should be calculated using forward </w:t>
      </w:r>
      <w:r w:rsidR="00B64AD9">
        <w:rPr>
          <w:rFonts w:eastAsiaTheme="minorEastAsia" w:cstheme="minorHAnsi"/>
          <w:iCs/>
          <w:sz w:val="20"/>
          <w:szCs w:val="20"/>
          <w:lang w:val="en-US"/>
        </w:rPr>
        <w:t xml:space="preserve">formulation: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+1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δr</m:t>
            </m:r>
          </m:den>
        </m:f>
      </m:oMath>
    </w:p>
    <w:p w14:paraId="23838AE2" w14:textId="1DBA57E8" w:rsidR="00DF76F2" w:rsidRDefault="00DF76F2" w:rsidP="00DF76F2">
      <w:pPr>
        <w:pStyle w:val="Paragraphedeliste"/>
        <w:numPr>
          <w:ilvl w:val="0"/>
          <w:numId w:val="12"/>
        </w:numPr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 xml:space="preserve">The second order derivative should be also modified using forward </w:t>
      </w:r>
      <w:r w:rsidR="009E0129">
        <w:rPr>
          <w:rFonts w:eastAsiaTheme="minorEastAsia" w:cstheme="minorHAnsi"/>
          <w:iCs/>
          <w:sz w:val="20"/>
          <w:szCs w:val="20"/>
          <w:lang w:val="en-US"/>
        </w:rPr>
        <w:t>formulation</w:t>
      </w:r>
      <w:r w:rsidR="00552705">
        <w:rPr>
          <w:rFonts w:eastAsiaTheme="minorEastAsia" w:cstheme="minorHAnsi"/>
          <w:iCs/>
          <w:sz w:val="20"/>
          <w:szCs w:val="20"/>
          <w:lang w:val="en-US"/>
        </w:rPr>
        <w:t xml:space="preserve">. We can’t rely on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t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  <w:lang w:val="en-US"/>
          </w:rPr>
          <m:t>/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t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k+2</m:t>
            </m:r>
          </m:sup>
        </m:sSubSup>
      </m:oMath>
      <w:r w:rsidR="00552705" w:rsidRPr="00552705">
        <w:rPr>
          <w:rFonts w:eastAsiaTheme="minorEastAsia" w:cstheme="minorHAnsi"/>
          <w:sz w:val="20"/>
          <w:szCs w:val="20"/>
          <w:lang w:val="en-US"/>
        </w:rPr>
        <w:t xml:space="preserve"> </w:t>
      </w:r>
      <w:r w:rsidR="00552705">
        <w:rPr>
          <w:rFonts w:eastAsiaTheme="minorEastAsia" w:cstheme="minorHAnsi"/>
          <w:sz w:val="20"/>
          <w:szCs w:val="20"/>
          <w:lang w:val="en-US"/>
        </w:rPr>
        <w:t>as second order derivatives offset (the reader can do the</w:t>
      </w:r>
      <w:r w:rsidR="00AC763F">
        <w:rPr>
          <w:rFonts w:eastAsiaTheme="minorEastAsia" w:cstheme="minorHAnsi"/>
          <w:sz w:val="20"/>
          <w:szCs w:val="20"/>
          <w:lang w:val="en-US"/>
        </w:rPr>
        <w:t xml:space="preserve"> Taylor</w:t>
      </w:r>
      <w:r w:rsidR="00552705">
        <w:rPr>
          <w:rFonts w:eastAsiaTheme="minorEastAsia" w:cstheme="minorHAnsi"/>
          <w:sz w:val="20"/>
          <w:szCs w:val="20"/>
          <w:lang w:val="en-US"/>
        </w:rPr>
        <w:t xml:space="preserve"> math if he/she want) and we should choose </w:t>
      </w:r>
      <w:r w:rsidR="00A448A6">
        <w:rPr>
          <w:rFonts w:eastAsiaTheme="minorEastAsia" w:cstheme="minorHAnsi"/>
          <w:iCs/>
          <w:sz w:val="20"/>
          <w:szCs w:val="20"/>
          <w:lang w:val="en-US"/>
        </w:rPr>
        <w:t>:</w:t>
      </w:r>
      <w:r w:rsidR="00A448A6" w:rsidRPr="00A448A6">
        <w:rPr>
          <w:rFonts w:ascii="Cambria Math" w:hAnsi="Cambria Math" w:cstheme="minorHAnsi"/>
          <w:i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k+1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k+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3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r)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</m:oMath>
    </w:p>
    <w:p w14:paraId="0221F725" w14:textId="5AB7C72F" w:rsidR="009E0129" w:rsidRDefault="009E0129" w:rsidP="009E0129">
      <w:pPr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>The scheme is then:</w:t>
      </w:r>
    </w:p>
    <w:p w14:paraId="51CED1D8" w14:textId="1D666DE6" w:rsidR="009E0129" w:rsidRPr="00747806" w:rsidRDefault="00000000" w:rsidP="009E0129">
      <w:pPr>
        <w:rPr>
          <w:rFonts w:eastAsiaTheme="minorEastAsia" w:cstheme="minorHAnsi"/>
          <w:iCs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t+1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k+3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r)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β- 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t+1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k+3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r)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β- 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63DBCD02" w14:textId="478005C4" w:rsidR="00C77C5B" w:rsidRPr="002A7D2F" w:rsidRDefault="00000000" w:rsidP="00C77C5B">
      <w:pPr>
        <w:rPr>
          <w:rFonts w:eastAsiaTheme="minorEastAsia" w:cstheme="minorHAnsi"/>
          <w:iCs/>
          <w:sz w:val="20"/>
          <w:szCs w:val="20"/>
          <w:lang w:val="en-US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⟹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k+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3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k+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3</m:t>
                      </m:r>
                    </m:sup>
                  </m:sSubSup>
                </m:e>
              </m:eqArr>
            </m:e>
          </m:d>
        </m:oMath>
      </m:oMathPara>
    </w:p>
    <w:p w14:paraId="0254AC3C" w14:textId="77777777" w:rsidR="00C77C5B" w:rsidRPr="002A7D2F" w:rsidRDefault="00C77C5B" w:rsidP="00C77C5B">
      <w:p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With:</w:t>
      </w:r>
    </w:p>
    <w:p w14:paraId="2AF20C39" w14:textId="1CC10406" w:rsidR="00747806" w:rsidRPr="0079344B" w:rsidRDefault="00C77C5B" w:rsidP="009E0129">
      <w:pPr>
        <w:rPr>
          <w:rFonts w:eastAsiaTheme="minorEastAsia" w:cstheme="minorHAnsi"/>
          <w:b/>
          <w:bCs/>
          <w:i/>
          <w:iCs/>
          <w:sz w:val="20"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( lower grid points)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 δt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(δr)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δr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 xml:space="preserve">β-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δr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 xml:space="preserve">β-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δt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(δr)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13554976" w14:textId="65B757AE" w:rsidR="00747806" w:rsidRPr="00DF76F2" w:rsidRDefault="00747806" w:rsidP="00747806">
      <w:pPr>
        <w:rPr>
          <w:rFonts w:eastAsiaTheme="minorEastAsia" w:cstheme="minorHAnsi"/>
          <w:iCs/>
          <w:sz w:val="20"/>
          <w:szCs w:val="20"/>
          <w:u w:val="single"/>
          <w:lang w:val="en-US"/>
        </w:rPr>
      </w:pPr>
      <w:r>
        <w:rPr>
          <w:rFonts w:eastAsiaTheme="minorEastAsia" w:cstheme="minorHAnsi"/>
          <w:iCs/>
          <w:sz w:val="20"/>
          <w:szCs w:val="20"/>
          <w:u w:val="single"/>
          <w:lang w:val="en-US"/>
        </w:rPr>
        <w:t>Upper</w:t>
      </w:r>
      <w:r w:rsidRPr="00DF76F2">
        <w:rPr>
          <w:rFonts w:eastAsiaTheme="minorEastAsia" w:cstheme="minorHAnsi"/>
          <w:iCs/>
          <w:sz w:val="20"/>
          <w:szCs w:val="20"/>
          <w:u w:val="single"/>
          <w:lang w:val="en-US"/>
        </w:rPr>
        <w:t xml:space="preserve"> limit case:</w:t>
      </w:r>
    </w:p>
    <w:p w14:paraId="49EFF9A0" w14:textId="5CF8EA5F" w:rsidR="00747806" w:rsidRDefault="00747806" w:rsidP="00747806">
      <w:pPr>
        <w:pStyle w:val="Paragraphedeliste"/>
        <w:numPr>
          <w:ilvl w:val="0"/>
          <w:numId w:val="12"/>
        </w:numPr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 xml:space="preserve">The first order derivative, initially calculated using central finite difference, should be calculated using backward formulation: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-1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δr</m:t>
            </m:r>
          </m:den>
        </m:f>
      </m:oMath>
    </w:p>
    <w:p w14:paraId="16484D17" w14:textId="61E1A9AF" w:rsidR="00747806" w:rsidRDefault="00747806" w:rsidP="00747806">
      <w:pPr>
        <w:pStyle w:val="Paragraphedeliste"/>
        <w:numPr>
          <w:ilvl w:val="0"/>
          <w:numId w:val="12"/>
        </w:numPr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 xml:space="preserve">The second order derivative should be also modified using backward </w:t>
      </w:r>
      <w:r w:rsidR="00E44CF8">
        <w:rPr>
          <w:rFonts w:eastAsiaTheme="minorEastAsia" w:cstheme="minorHAnsi"/>
          <w:iCs/>
          <w:sz w:val="20"/>
          <w:szCs w:val="20"/>
          <w:lang w:val="en-US"/>
        </w:rPr>
        <w:t xml:space="preserve">formulation, and this time we can rely on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t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k-2</m:t>
            </m:r>
          </m:sup>
        </m:sSubSup>
        <m:r>
          <w:rPr>
            <w:rFonts w:ascii="Cambria Math" w:hAnsi="Cambria Math" w:cstheme="minorHAnsi"/>
            <w:sz w:val="20"/>
            <w:szCs w:val="20"/>
            <w:lang w:val="en-US"/>
          </w:rPr>
          <m:t xml:space="preserve"> </m:t>
        </m:r>
      </m:oMath>
      <w:r w:rsidR="00E44CF8">
        <w:rPr>
          <w:rFonts w:eastAsiaTheme="minorEastAsia" w:cstheme="minorHAnsi"/>
          <w:sz w:val="20"/>
          <w:szCs w:val="20"/>
          <w:lang w:val="en-US"/>
        </w:rPr>
        <w:t xml:space="preserve"> and not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t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k-</m:t>
            </m:r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3</m:t>
            </m:r>
          </m:sup>
        </m:sSubSup>
      </m:oMath>
      <w:r w:rsidR="00E44CF8">
        <w:rPr>
          <w:rFonts w:eastAsiaTheme="minorEastAsia" w:cstheme="minorHAnsi"/>
          <w:iCs/>
          <w:sz w:val="20"/>
          <w:szCs w:val="20"/>
          <w:lang w:val="en-US"/>
        </w:rPr>
        <w:t xml:space="preserve"> (same thing the reader can prove it by simple Taylor expansion)</w:t>
      </w:r>
      <w:r w:rsidR="002E098F">
        <w:rPr>
          <w:rFonts w:eastAsiaTheme="minorEastAsia" w:cstheme="minorHAnsi"/>
          <w:iCs/>
          <w:sz w:val="20"/>
          <w:szCs w:val="20"/>
          <w:lang w:val="en-US"/>
        </w:rPr>
        <w:t>, but for “</w:t>
      </w:r>
      <w:r w:rsidR="00E157B0">
        <w:rPr>
          <w:rFonts w:eastAsiaTheme="minorEastAsia" w:cstheme="minorHAnsi"/>
          <w:iCs/>
          <w:sz w:val="20"/>
          <w:szCs w:val="20"/>
          <w:lang w:val="en-US"/>
        </w:rPr>
        <w:t>symmetry</w:t>
      </w:r>
      <w:r w:rsidR="002E098F">
        <w:rPr>
          <w:rFonts w:eastAsiaTheme="minorEastAsia" w:cstheme="minorHAnsi"/>
          <w:iCs/>
          <w:sz w:val="20"/>
          <w:szCs w:val="20"/>
          <w:lang w:val="en-US"/>
        </w:rPr>
        <w:t>” reason we’ll continue</w:t>
      </w:r>
      <w:r w:rsidR="00E157B0">
        <w:rPr>
          <w:rFonts w:eastAsiaTheme="minorEastAsia" w:cstheme="minorHAnsi"/>
          <w:iCs/>
          <w:sz w:val="20"/>
          <w:szCs w:val="20"/>
          <w:lang w:val="en-US"/>
        </w:rPr>
        <w:t xml:space="preserve"> with following scheme</w:t>
      </w:r>
      <w:r w:rsidR="002E098F">
        <w:rPr>
          <w:rFonts w:eastAsiaTheme="minorEastAsia" w:cstheme="minorHAnsi"/>
          <w:iCs/>
          <w:sz w:val="20"/>
          <w:szCs w:val="20"/>
          <w:lang w:val="en-US"/>
        </w:rPr>
        <w:t xml:space="preserve"> </w:t>
      </w:r>
      <w:r>
        <w:rPr>
          <w:rFonts w:eastAsiaTheme="minorEastAsia" w:cstheme="minorHAnsi"/>
          <w:iCs/>
          <w:sz w:val="20"/>
          <w:szCs w:val="20"/>
          <w:lang w:val="en-US"/>
        </w:rPr>
        <w:t>:</w:t>
      </w:r>
      <w:r w:rsidRPr="00A448A6">
        <w:rPr>
          <w:rFonts w:ascii="Cambria Math" w:hAnsi="Cambria Math" w:cstheme="minorHAnsi"/>
          <w:i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k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k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3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r)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</m:oMath>
    </w:p>
    <w:p w14:paraId="6EC21649" w14:textId="77777777" w:rsidR="00747806" w:rsidRDefault="00747806" w:rsidP="00747806">
      <w:pPr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>The scheme is then:</w:t>
      </w:r>
    </w:p>
    <w:p w14:paraId="7A5C526C" w14:textId="113AACF8" w:rsidR="00747806" w:rsidRDefault="00000000" w:rsidP="009E0129">
      <w:pPr>
        <w:rPr>
          <w:rFonts w:eastAsiaTheme="minorEastAsia" w:cstheme="minorHAnsi"/>
          <w:iCs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t+1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k-3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r)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β- 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t+1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k-3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r)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β- 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TRS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620616F4" w14:textId="243D3662" w:rsidR="0079344B" w:rsidRPr="002A7D2F" w:rsidRDefault="00000000" w:rsidP="0079344B">
      <w:pPr>
        <w:rPr>
          <w:rFonts w:eastAsiaTheme="minorEastAsia" w:cstheme="minorHAnsi"/>
          <w:iCs/>
          <w:sz w:val="20"/>
          <w:szCs w:val="20"/>
          <w:lang w:val="en-US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⟹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k-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3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k-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3</m:t>
                      </m:r>
                    </m:sup>
                  </m:sSubSup>
                </m:e>
              </m:eqArr>
            </m:e>
          </m:d>
        </m:oMath>
      </m:oMathPara>
    </w:p>
    <w:p w14:paraId="1EAB858E" w14:textId="77777777" w:rsidR="0079344B" w:rsidRPr="002A7D2F" w:rsidRDefault="0079344B" w:rsidP="0079344B">
      <w:p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With:</w:t>
      </w:r>
    </w:p>
    <w:p w14:paraId="766171BD" w14:textId="7D32A108" w:rsidR="00747806" w:rsidRPr="000C11FB" w:rsidRDefault="0079344B" w:rsidP="009E0129">
      <w:pPr>
        <w:rPr>
          <w:rFonts w:eastAsiaTheme="minorEastAsia" w:cstheme="minorHAnsi"/>
          <w:b/>
          <w:bCs/>
          <w:i/>
          <w:iCs/>
          <w:sz w:val="20"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( upper grid points)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δt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(δr)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δr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 xml:space="preserve">β-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δr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2δr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 xml:space="preserve">β-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δt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(δr)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1A58A59F" w14:textId="549FEA28" w:rsidR="000C11FB" w:rsidRPr="000C11FB" w:rsidRDefault="000C11FB" w:rsidP="009E0129">
      <w:pPr>
        <w:rPr>
          <w:rFonts w:eastAsiaTheme="minorEastAsia" w:cstheme="minorHAnsi"/>
          <w:b/>
          <w:bCs/>
          <w:sz w:val="20"/>
          <w:szCs w:val="20"/>
          <w:lang w:val="en-US"/>
        </w:rPr>
      </w:pPr>
    </w:p>
    <w:p w14:paraId="2A1621FD" w14:textId="2015A56B" w:rsidR="009B2052" w:rsidRPr="002A7D2F" w:rsidRDefault="00000000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pict w14:anchorId="2B315EFC">
          <v:rect id="_x0000_i1028" style="width:0;height:1.5pt" o:hralign="center" o:hrstd="t" o:hr="t" fillcolor="#a0a0a0" stroked="f"/>
        </w:pict>
      </w:r>
    </w:p>
    <w:p w14:paraId="35CA35A8" w14:textId="77777777" w:rsidR="002A7D2F" w:rsidRDefault="002A7D2F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C03907B" w14:textId="77777777" w:rsidR="002A7D2F" w:rsidRDefault="002A7D2F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6398D2B" w14:textId="77777777" w:rsidR="002A7D2F" w:rsidRDefault="002A7D2F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5476BEA1" w14:textId="5D6E6FD8" w:rsidR="00ED7912" w:rsidRDefault="00ED7912" w:rsidP="00ED7912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lastRenderedPageBreak/>
        <w:t>V – Finite difference algorithm</w:t>
      </w:r>
      <w: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 – Stability and convergence</w:t>
      </w:r>
    </w:p>
    <w:p w14:paraId="5EC3887E" w14:textId="466A830C" w:rsidR="00B57A9B" w:rsidRDefault="00B57A9B" w:rsidP="002F02EE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As explicit finite difference model, results are extremely sensitive to model parameters, and for stability purpose, following links between quantities should be set:</w:t>
      </w:r>
    </w:p>
    <w:p w14:paraId="7F324330" w14:textId="36F95255" w:rsidR="002F02EE" w:rsidRPr="00D159FD" w:rsidRDefault="002F02EE" w:rsidP="002F02EE">
      <w:pPr>
        <w:rPr>
          <w:rFonts w:cstheme="minorHAnsi"/>
          <w:i/>
          <w:color w:val="24292F"/>
          <w:sz w:val="20"/>
          <w:szCs w:val="20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24292F"/>
                  <w:sz w:val="20"/>
                  <w:szCs w:val="20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24292F"/>
                      <w:sz w:val="20"/>
                      <w:szCs w:val="20"/>
                      <w:shd w:val="clear" w:color="auto" w:fill="FFFFFF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≤0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δt ≤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(δr)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δr ≤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 xml:space="preserve">β-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den>
                  </m:f>
                </m:e>
              </m:eqArr>
            </m:e>
          </m:d>
        </m:oMath>
      </m:oMathPara>
    </w:p>
    <w:p w14:paraId="10D37CD2" w14:textId="03D3CBFC" w:rsidR="002A7D2F" w:rsidRPr="008B1541" w:rsidRDefault="00D159FD" w:rsidP="00D159FD">
      <w:pPr>
        <w:pStyle w:val="Paragraphedeliste"/>
        <w:numPr>
          <w:ilvl w:val="0"/>
          <w:numId w:val="14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m:oMath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1</m:t>
            </m:r>
          </m:e>
        </m:d>
      </m:oMath>
      <w:r w:rsidRPr="00D159FD">
        <w:rPr>
          <w:rFonts w:eastAsiaTheme="minorEastAsia" w:cstheme="minorHAnsi"/>
          <w:b/>
          <w:bCs/>
          <w:sz w:val="20"/>
          <w:szCs w:val="20"/>
          <w:lang w:val="en-US"/>
        </w:rPr>
        <w:t xml:space="preserve"> </w:t>
      </w:r>
      <w:r w:rsidRPr="00D159FD">
        <w:rPr>
          <w:rFonts w:eastAsiaTheme="minorEastAsia" w:cstheme="minorHAnsi"/>
          <w:sz w:val="20"/>
          <w:szCs w:val="20"/>
          <w:lang w:val="en-US"/>
        </w:rPr>
        <w:t>is sustained if and only if</w:t>
      </w:r>
      <w:r>
        <w:rPr>
          <w:rFonts w:eastAsiaTheme="minorEastAsia" w:cstheme="minorHAnsi"/>
          <w:b/>
          <w:bCs/>
          <w:sz w:val="20"/>
          <w:szCs w:val="20"/>
          <w:lang w:val="en-US"/>
        </w:rPr>
        <w:t xml:space="preserve"> </w:t>
      </w:r>
      <w:r w:rsidRPr="00D159FD">
        <w:rPr>
          <w:rFonts w:eastAsiaTheme="minorEastAsia" w:cstheme="minorHAnsi"/>
          <w:sz w:val="20"/>
          <w:szCs w:val="20"/>
          <w:lang w:val="en-US"/>
        </w:rPr>
        <w:t>interest rates are considered as non-</w:t>
      </w:r>
      <w:r w:rsidR="008B1541" w:rsidRPr="00D159FD">
        <w:rPr>
          <w:rFonts w:eastAsiaTheme="minorEastAsia" w:cstheme="minorHAnsi"/>
          <w:sz w:val="20"/>
          <w:szCs w:val="20"/>
          <w:lang w:val="en-US"/>
        </w:rPr>
        <w:t>negative.</w:t>
      </w:r>
    </w:p>
    <w:p w14:paraId="6F45234A" w14:textId="0FF4DA94" w:rsidR="008B1541" w:rsidRPr="008B1541" w:rsidRDefault="008B1541" w:rsidP="00D159FD">
      <w:pPr>
        <w:pStyle w:val="Paragraphedeliste"/>
        <w:numPr>
          <w:ilvl w:val="0"/>
          <w:numId w:val="14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m:oMath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3</m:t>
            </m:r>
          </m:e>
        </m:d>
      </m:oMath>
      <w:r w:rsidRPr="008B1541">
        <w:rPr>
          <w:rFonts w:eastAsiaTheme="minorEastAsia" w:cstheme="minorHAnsi"/>
          <w:b/>
          <w:bCs/>
          <w:sz w:val="20"/>
          <w:szCs w:val="20"/>
          <w:lang w:val="en-US"/>
        </w:rPr>
        <w:t xml:space="preserve"> </w:t>
      </w:r>
      <w:r w:rsidRPr="008B1541">
        <w:rPr>
          <w:rFonts w:eastAsiaTheme="minorEastAsia" w:cstheme="minorHAnsi"/>
          <w:sz w:val="20"/>
          <w:szCs w:val="20"/>
          <w:lang w:val="en-US"/>
        </w:rPr>
        <w:t>should be sustained taking into (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 xml:space="preserve">α, β, 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theme="minorHAnsi"/>
            <w:sz w:val="20"/>
            <w:szCs w:val="20"/>
            <w:lang w:val="en-US"/>
          </w:rPr>
          <m:t>,</m:t>
        </m:r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 xml:space="preserve"> σ)</m:t>
        </m:r>
      </m:oMath>
      <w:r w:rsidRPr="008B1541">
        <w:rPr>
          <w:rFonts w:eastAsiaTheme="minorEastAsia" w:cstheme="minorHAnsi"/>
          <w:sz w:val="20"/>
          <w:szCs w:val="20"/>
          <w:lang w:val="en-US"/>
        </w:rPr>
        <w:t xml:space="preserve"> as inputs</w:t>
      </w:r>
      <w:r w:rsidR="00C20091">
        <w:rPr>
          <w:rFonts w:eastAsiaTheme="minorEastAsia" w:cstheme="minorHAnsi"/>
          <w:sz w:val="20"/>
          <w:szCs w:val="20"/>
          <w:lang w:val="en-US"/>
        </w:rPr>
        <w:t>, with careful calculation handled by the algorithm itself.</w:t>
      </w:r>
    </w:p>
    <w:p w14:paraId="15E61F86" w14:textId="7A36FE9F" w:rsidR="008B1541" w:rsidRPr="00C6588A" w:rsidRDefault="008B1541" w:rsidP="00D159FD">
      <w:pPr>
        <w:pStyle w:val="Paragraphedeliste"/>
        <w:numPr>
          <w:ilvl w:val="0"/>
          <w:numId w:val="14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8B1541">
        <w:rPr>
          <w:rFonts w:eastAsiaTheme="minorEastAsia" w:cstheme="minorHAnsi"/>
          <w:color w:val="24292F"/>
          <w:sz w:val="20"/>
          <w:szCs w:val="20"/>
          <w:shd w:val="clear" w:color="auto" w:fill="FFFFFF"/>
          <w:lang w:val="en-US"/>
        </w:rPr>
        <w:t xml:space="preserve">Then </w:t>
      </w:r>
      <m:oMath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2</m:t>
            </m:r>
          </m:e>
        </m:d>
      </m:oMath>
      <w:r w:rsidRPr="008B1541">
        <w:rPr>
          <w:rFonts w:eastAsiaTheme="minorEastAsia" w:cstheme="minorHAnsi"/>
          <w:sz w:val="20"/>
          <w:szCs w:val="20"/>
          <w:lang w:val="en-US"/>
        </w:rPr>
        <w:t xml:space="preserve"> should be sustained too</w:t>
      </w:r>
      <w:r w:rsidR="00C20091">
        <w:rPr>
          <w:rFonts w:eastAsiaTheme="minorEastAsia" w:cstheme="minorHAnsi"/>
          <w:sz w:val="20"/>
          <w:szCs w:val="20"/>
          <w:lang w:val="en-US"/>
        </w:rPr>
        <w:t xml:space="preserve">, once again the algorithm should choose a dedicated </w:t>
      </w:r>
      <m:oMath>
        <m:r>
          <w:rPr>
            <w:rFonts w:ascii="Cambria Math" w:hAnsi="Cambria Math" w:cstheme="minorHAnsi"/>
            <w:sz w:val="20"/>
            <w:szCs w:val="20"/>
          </w:rPr>
          <m:t>δt</m:t>
        </m:r>
      </m:oMath>
    </w:p>
    <w:p w14:paraId="2AD31731" w14:textId="05BB92C5" w:rsidR="00C6588A" w:rsidRPr="00C6588A" w:rsidRDefault="00C6588A" w:rsidP="00C6588A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pict w14:anchorId="757ADEA0">
          <v:rect id="_x0000_i1029" style="width:0;height:1.5pt" o:hralign="center" o:hrstd="t" o:hr="t" fillcolor="#a0a0a0" stroked="f"/>
        </w:pict>
      </w:r>
    </w:p>
    <w:p w14:paraId="6466F4ED" w14:textId="77777777" w:rsidR="002A7D2F" w:rsidRDefault="002A7D2F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0F75843D" w14:textId="77777777" w:rsidR="002A7D2F" w:rsidRDefault="002A7D2F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120D3A03" w14:textId="77777777" w:rsidR="002A7D2F" w:rsidRDefault="002A7D2F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1768F3DF" w14:textId="7CAA255B" w:rsidR="002A7D2F" w:rsidRDefault="002A7D2F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6681B62" w14:textId="02EF33E1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DA5F7D6" w14:textId="53218FF4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499C71DC" w14:textId="11C8E62F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33343B5" w14:textId="40B95E28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25DF17C" w14:textId="0905EA6E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42FF4345" w14:textId="55C48894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FB87FC9" w14:textId="140B430D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0F17F51C" w14:textId="2522ED2B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47F154BA" w14:textId="104C2FB3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55CEAE7B" w14:textId="75089752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5A2218B" w14:textId="17EDBBF9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1650F735" w14:textId="3B286520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17BC514C" w14:textId="2E878DD4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158C0DB" w14:textId="64EB45EE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0E6BA64" w14:textId="1E895CA1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16B35F36" w14:textId="7A586278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BC69D37" w14:textId="7D8A1820" w:rsidR="00ED7912" w:rsidRDefault="00ED7912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7C700619" w14:textId="266C545C" w:rsidR="002A7D2F" w:rsidRDefault="002A7D2F" w:rsidP="00C6588A">
      <w:pP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4ED1C53" w14:textId="77777777" w:rsidR="00C6588A" w:rsidRDefault="00C6588A" w:rsidP="00C6588A">
      <w:pP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B7674D5" w14:textId="4E7F8347" w:rsidR="00104EFC" w:rsidRPr="002A7D2F" w:rsidRDefault="00104EFC" w:rsidP="00104EFC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lastRenderedPageBreak/>
        <w:t>V</w:t>
      </w:r>
      <w:r w:rsidR="00ED7912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I</w:t>
      </w: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 – Model assumptions, discussion, and ne</w:t>
      </w:r>
      <w:r w:rsidR="004B3CD5"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x</w:t>
      </w: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t axis</w:t>
      </w:r>
    </w:p>
    <w:p w14:paraId="3C3F9E48" w14:textId="48CA73CA" w:rsidR="004C141F" w:rsidRPr="002A7D2F" w:rsidRDefault="00C3509A" w:rsidP="00C3509A">
      <w:pPr>
        <w:pStyle w:val="Paragraphedeliste"/>
        <w:numPr>
          <w:ilvl w:val="0"/>
          <w:numId w:val="6"/>
        </w:num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As second-order pricing model, it suffers exact same drawbacks than Bond option: Bond(s price at TRS maturity are evaluated </w:t>
      </w:r>
      <w:r w:rsidRPr="002A7D2F">
        <w:rPr>
          <w:rFonts w:eastAsiaTheme="minorEastAsia" w:cstheme="minorHAnsi"/>
          <w:i/>
          <w:sz w:val="20"/>
          <w:szCs w:val="20"/>
          <w:u w:val="single"/>
          <w:lang w:val="en-US"/>
        </w:rPr>
        <w:t>theoretically</w:t>
      </w:r>
      <w:r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, but the TRS will eventually use </w:t>
      </w:r>
      <w:r w:rsidRPr="002A7D2F">
        <w:rPr>
          <w:rFonts w:eastAsiaTheme="minorEastAsia" w:cstheme="minorHAnsi"/>
          <w:i/>
          <w:sz w:val="20"/>
          <w:szCs w:val="20"/>
          <w:u w:val="single"/>
          <w:lang w:val="en-US"/>
        </w:rPr>
        <w:t>market</w:t>
      </w:r>
      <w:r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price. The Bond’s model accuracy is then critical, as every errors in inner loop will be magnified in the outer loop (TRS).</w:t>
      </w:r>
    </w:p>
    <w:p w14:paraId="19C8D691" w14:textId="34EEF954" w:rsidR="00C3509A" w:rsidRPr="002A7D2F" w:rsidRDefault="00C3509A" w:rsidP="00C3509A">
      <w:pPr>
        <w:pStyle w:val="Paragraphedeliste"/>
        <w:numPr>
          <w:ilvl w:val="0"/>
          <w:numId w:val="6"/>
        </w:num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We assumed to choose a very simple </w:t>
      </w:r>
      <w:proofErr w:type="spellStart"/>
      <w:r w:rsidRPr="002A7D2F">
        <w:rPr>
          <w:rFonts w:eastAsiaTheme="minorEastAsia" w:cstheme="minorHAnsi"/>
          <w:iCs/>
          <w:sz w:val="20"/>
          <w:szCs w:val="20"/>
          <w:lang w:val="en-US"/>
        </w:rPr>
        <w:t>Vasicek</w:t>
      </w:r>
      <w:proofErr w:type="spellEnd"/>
      <w:r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model (equilibrium without curve fitting), which is not the market practice, and the model should eventually be enhanced with short-rate dynamic in HJM framework.</w:t>
      </w:r>
    </w:p>
    <w:p w14:paraId="4EDFE8F3" w14:textId="2004F96E" w:rsidR="00C3509A" w:rsidRPr="002A7D2F" w:rsidRDefault="00C3509A" w:rsidP="00C3509A">
      <w:pPr>
        <w:pStyle w:val="Paragraphedeliste"/>
        <w:numPr>
          <w:ilvl w:val="0"/>
          <w:numId w:val="6"/>
        </w:num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Relaxing TRS bullet feature will have several impacts:</w:t>
      </w:r>
    </w:p>
    <w:p w14:paraId="7470174F" w14:textId="13603570" w:rsidR="00C3509A" w:rsidRPr="002A7D2F" w:rsidRDefault="00C3509A" w:rsidP="00C3509A">
      <w:pPr>
        <w:pStyle w:val="Paragraphedeliste"/>
        <w:numPr>
          <w:ilvl w:val="1"/>
          <w:numId w:val="6"/>
        </w:num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Bond price calculation should be done until first reset TRS date and no more only until TRS maturity.</w:t>
      </w:r>
    </w:p>
    <w:p w14:paraId="6D063780" w14:textId="35C4F1E2" w:rsidR="00C3509A" w:rsidRPr="002A7D2F" w:rsidRDefault="00C3509A" w:rsidP="00C3509A">
      <w:pPr>
        <w:pStyle w:val="Paragraphedeliste"/>
        <w:numPr>
          <w:ilvl w:val="1"/>
          <w:numId w:val="6"/>
        </w:numPr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Jump condition should be incorporated in the model for each TRS payment date.</w:t>
      </w:r>
    </w:p>
    <w:p w14:paraId="76BD0B15" w14:textId="06D9A184" w:rsidR="00695560" w:rsidRPr="002A7D2F" w:rsidRDefault="00C3509A" w:rsidP="00E468A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Relaxing TRS fixed rate feature</w:t>
      </w:r>
      <w:r w:rsidR="00E468A8" w:rsidRPr="002A7D2F">
        <w:rPr>
          <w:rFonts w:eastAsiaTheme="minorEastAsia" w:cstheme="minorHAnsi"/>
          <w:iCs/>
          <w:sz w:val="20"/>
          <w:szCs w:val="20"/>
          <w:lang w:val="en-US"/>
        </w:rPr>
        <w:t xml:space="preserve"> from floating rate (Libor-like or RFR) leads to a third dimension, which will be discussed in VII-Two-factor explicit, with both stochastic asset and interest rate.</w:t>
      </w:r>
    </w:p>
    <w:p w14:paraId="6615ED30" w14:textId="45424D01" w:rsidR="00E468A8" w:rsidRPr="002A7D2F" w:rsidRDefault="00E468A8" w:rsidP="00E468A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Relaxing risk-free assumption for Bond, by incorporating default mechanism, and assuming this latter is also stochastic, leads to a modification of the inner Bond pricing scheme:</w:t>
      </w:r>
    </w:p>
    <w:p w14:paraId="1B90F3CF" w14:textId="1D50CAEF" w:rsidR="00E468A8" w:rsidRPr="002A7D2F" w:rsidRDefault="00000000" w:rsidP="00E468A8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iCs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u-λω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-(r -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p)V=0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dr=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u-λω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dt+ ωdW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dp=γdt+ δdX</m:t>
                  </m:r>
                </m:e>
              </m:eqArr>
            </m:e>
          </m:d>
        </m:oMath>
      </m:oMathPara>
    </w:p>
    <w:p w14:paraId="18375C57" w14:textId="59C26D3A" w:rsidR="00AC6F1A" w:rsidRPr="002A7D2F" w:rsidRDefault="00AC6F1A" w:rsidP="00E468A8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ab/>
        <w:t>With additional notations:</w:t>
      </w:r>
    </w:p>
    <w:p w14:paraId="12E541BC" w14:textId="35F332B5" w:rsidR="00AC6F1A" w:rsidRPr="002A7D2F" w:rsidRDefault="00AC6F1A" w:rsidP="00AC6F1A">
      <w:pPr>
        <w:pStyle w:val="Paragraphedeliste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Pr="002A7D2F">
        <w:rPr>
          <w:rFonts w:eastAsiaTheme="minorEastAsia" w:cstheme="minorHAnsi"/>
          <w:iCs/>
          <w:sz w:val="20"/>
          <w:szCs w:val="20"/>
          <w:lang w:val="en-GB"/>
        </w:rPr>
        <w:t xml:space="preserve"> the instantenous probability of default (aka as hazard rate)</w:t>
      </w:r>
    </w:p>
    <w:p w14:paraId="4DED09AB" w14:textId="0E99D442" w:rsidR="00AC6F1A" w:rsidRPr="002A7D2F" w:rsidRDefault="00000000" w:rsidP="00AC6F1A">
      <w:pPr>
        <w:pStyle w:val="Paragraphedeliste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AC6F1A" w:rsidRPr="002A7D2F">
        <w:rPr>
          <w:rFonts w:eastAsiaTheme="minorEastAsia" w:cstheme="minorHAnsi"/>
          <w:iCs/>
          <w:sz w:val="20"/>
          <w:szCs w:val="20"/>
          <w:lang w:val="en-GB"/>
        </w:rPr>
        <w:t xml:space="preserve"> the market price of default risk</w:t>
      </w:r>
    </w:p>
    <w:p w14:paraId="3E70ADF6" w14:textId="73E9CB6F" w:rsidR="00407348" w:rsidRPr="002A7D2F" w:rsidRDefault="00407348" w:rsidP="00407348">
      <w:pPr>
        <w:shd w:val="clear" w:color="auto" w:fill="FFFFFF"/>
        <w:spacing w:before="60" w:after="100" w:afterAutospacing="1" w:line="240" w:lineRule="auto"/>
        <w:ind w:left="708"/>
        <w:rPr>
          <w:rFonts w:eastAsiaTheme="minorEastAsia" w:cstheme="minorHAnsi"/>
          <w:iCs/>
          <w:sz w:val="20"/>
          <w:szCs w:val="20"/>
          <w:lang w:val="en-US"/>
        </w:rPr>
      </w:pPr>
      <w:r w:rsidRPr="002A7D2F">
        <w:rPr>
          <w:rFonts w:eastAsiaTheme="minorEastAsia" w:cstheme="minorHAnsi"/>
          <w:iCs/>
          <w:sz w:val="20"/>
          <w:szCs w:val="20"/>
          <w:lang w:val="en-US"/>
        </w:rPr>
        <w:t>It introduces a third dimension in the inner pricing scheme for Bond.</w:t>
      </w:r>
    </w:p>
    <w:p w14:paraId="32E602B6" w14:textId="7D5121C6" w:rsidR="00AC6F1A" w:rsidRPr="002A7D2F" w:rsidRDefault="00AC6F1A" w:rsidP="00AC6F1A">
      <w:pPr>
        <w:pStyle w:val="Paragraphedeliste"/>
        <w:shd w:val="clear" w:color="auto" w:fill="FFFFFF"/>
        <w:spacing w:before="60" w:after="100" w:afterAutospacing="1" w:line="240" w:lineRule="auto"/>
        <w:ind w:left="708"/>
        <w:rPr>
          <w:rFonts w:eastAsiaTheme="minorEastAsia" w:cstheme="minorHAnsi"/>
          <w:i/>
          <w:iCs/>
          <w:sz w:val="20"/>
          <w:szCs w:val="20"/>
          <w:lang w:val="en-US"/>
        </w:rPr>
      </w:pPr>
    </w:p>
    <w:sectPr w:rsidR="00AC6F1A" w:rsidRPr="002A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59BC"/>
    <w:multiLevelType w:val="hybridMultilevel"/>
    <w:tmpl w:val="AED21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6817"/>
    <w:multiLevelType w:val="hybridMultilevel"/>
    <w:tmpl w:val="358A5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E4252"/>
    <w:multiLevelType w:val="hybridMultilevel"/>
    <w:tmpl w:val="F5EC1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C6263"/>
    <w:multiLevelType w:val="hybridMultilevel"/>
    <w:tmpl w:val="51AC8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A38AD"/>
    <w:multiLevelType w:val="hybridMultilevel"/>
    <w:tmpl w:val="C9C64CA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4496020"/>
    <w:multiLevelType w:val="hybridMultilevel"/>
    <w:tmpl w:val="E82A3C6E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E35395"/>
    <w:multiLevelType w:val="hybridMultilevel"/>
    <w:tmpl w:val="91922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7C8"/>
    <w:multiLevelType w:val="hybridMultilevel"/>
    <w:tmpl w:val="62304AF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74C38E2"/>
    <w:multiLevelType w:val="multilevel"/>
    <w:tmpl w:val="FCE2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E6697"/>
    <w:multiLevelType w:val="hybridMultilevel"/>
    <w:tmpl w:val="D42C5DA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0013683"/>
    <w:multiLevelType w:val="hybridMultilevel"/>
    <w:tmpl w:val="110A0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94137"/>
    <w:multiLevelType w:val="hybridMultilevel"/>
    <w:tmpl w:val="24BC9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A0FE8"/>
    <w:multiLevelType w:val="hybridMultilevel"/>
    <w:tmpl w:val="B44EA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E7549"/>
    <w:multiLevelType w:val="hybridMultilevel"/>
    <w:tmpl w:val="75A82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25040">
    <w:abstractNumId w:val="6"/>
  </w:num>
  <w:num w:numId="2" w16cid:durableId="472136066">
    <w:abstractNumId w:val="10"/>
  </w:num>
  <w:num w:numId="3" w16cid:durableId="802962156">
    <w:abstractNumId w:val="1"/>
  </w:num>
  <w:num w:numId="4" w16cid:durableId="1062605281">
    <w:abstractNumId w:val="0"/>
  </w:num>
  <w:num w:numId="5" w16cid:durableId="1669939642">
    <w:abstractNumId w:val="2"/>
  </w:num>
  <w:num w:numId="6" w16cid:durableId="1302883062">
    <w:abstractNumId w:val="3"/>
  </w:num>
  <w:num w:numId="7" w16cid:durableId="1347055150">
    <w:abstractNumId w:val="8"/>
  </w:num>
  <w:num w:numId="8" w16cid:durableId="585960700">
    <w:abstractNumId w:val="9"/>
  </w:num>
  <w:num w:numId="9" w16cid:durableId="77023568">
    <w:abstractNumId w:val="7"/>
  </w:num>
  <w:num w:numId="10" w16cid:durableId="786705245">
    <w:abstractNumId w:val="5"/>
  </w:num>
  <w:num w:numId="11" w16cid:durableId="1104225957">
    <w:abstractNumId w:val="4"/>
  </w:num>
  <w:num w:numId="12" w16cid:durableId="2056461002">
    <w:abstractNumId w:val="13"/>
  </w:num>
  <w:num w:numId="13" w16cid:durableId="392780828">
    <w:abstractNumId w:val="11"/>
  </w:num>
  <w:num w:numId="14" w16cid:durableId="655692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30"/>
    <w:rsid w:val="00005D26"/>
    <w:rsid w:val="0001213C"/>
    <w:rsid w:val="0001271C"/>
    <w:rsid w:val="0002250E"/>
    <w:rsid w:val="00080BFF"/>
    <w:rsid w:val="000A4465"/>
    <w:rsid w:val="000C11FB"/>
    <w:rsid w:val="000C789C"/>
    <w:rsid w:val="000D2180"/>
    <w:rsid w:val="00104EFC"/>
    <w:rsid w:val="00116A47"/>
    <w:rsid w:val="00122E47"/>
    <w:rsid w:val="00132A99"/>
    <w:rsid w:val="00147434"/>
    <w:rsid w:val="00162DA5"/>
    <w:rsid w:val="00201524"/>
    <w:rsid w:val="002160D7"/>
    <w:rsid w:val="00234A06"/>
    <w:rsid w:val="002A7D2F"/>
    <w:rsid w:val="002D3625"/>
    <w:rsid w:val="002D6303"/>
    <w:rsid w:val="002E098F"/>
    <w:rsid w:val="002F02EE"/>
    <w:rsid w:val="0034028E"/>
    <w:rsid w:val="00346547"/>
    <w:rsid w:val="003814A1"/>
    <w:rsid w:val="00407348"/>
    <w:rsid w:val="004B1F2C"/>
    <w:rsid w:val="004B3CD5"/>
    <w:rsid w:val="004C141F"/>
    <w:rsid w:val="004C2148"/>
    <w:rsid w:val="004F3384"/>
    <w:rsid w:val="00552705"/>
    <w:rsid w:val="00576653"/>
    <w:rsid w:val="005C5F30"/>
    <w:rsid w:val="00615C82"/>
    <w:rsid w:val="00651411"/>
    <w:rsid w:val="00653D85"/>
    <w:rsid w:val="00663239"/>
    <w:rsid w:val="00690734"/>
    <w:rsid w:val="00695560"/>
    <w:rsid w:val="006A2CDE"/>
    <w:rsid w:val="00712549"/>
    <w:rsid w:val="00747806"/>
    <w:rsid w:val="0079344B"/>
    <w:rsid w:val="007D2650"/>
    <w:rsid w:val="007D4296"/>
    <w:rsid w:val="007F2951"/>
    <w:rsid w:val="0084297E"/>
    <w:rsid w:val="008B1541"/>
    <w:rsid w:val="008B55BC"/>
    <w:rsid w:val="008E1AEA"/>
    <w:rsid w:val="008E6220"/>
    <w:rsid w:val="008F435D"/>
    <w:rsid w:val="0091179E"/>
    <w:rsid w:val="00921660"/>
    <w:rsid w:val="0092318E"/>
    <w:rsid w:val="009235B7"/>
    <w:rsid w:val="00933937"/>
    <w:rsid w:val="00941E67"/>
    <w:rsid w:val="00956527"/>
    <w:rsid w:val="00982D2F"/>
    <w:rsid w:val="00986B60"/>
    <w:rsid w:val="00986C8D"/>
    <w:rsid w:val="009B2052"/>
    <w:rsid w:val="009E0129"/>
    <w:rsid w:val="00A017A6"/>
    <w:rsid w:val="00A27D58"/>
    <w:rsid w:val="00A448A6"/>
    <w:rsid w:val="00A468A4"/>
    <w:rsid w:val="00A46B49"/>
    <w:rsid w:val="00A57C43"/>
    <w:rsid w:val="00A80E5F"/>
    <w:rsid w:val="00AC6F1A"/>
    <w:rsid w:val="00AC763F"/>
    <w:rsid w:val="00AF5BD1"/>
    <w:rsid w:val="00B57A9B"/>
    <w:rsid w:val="00B64AD9"/>
    <w:rsid w:val="00BE2E8C"/>
    <w:rsid w:val="00C02D68"/>
    <w:rsid w:val="00C071D3"/>
    <w:rsid w:val="00C20091"/>
    <w:rsid w:val="00C21B0C"/>
    <w:rsid w:val="00C3509A"/>
    <w:rsid w:val="00C51F92"/>
    <w:rsid w:val="00C6588A"/>
    <w:rsid w:val="00C77C5B"/>
    <w:rsid w:val="00CA4BB8"/>
    <w:rsid w:val="00CB0C92"/>
    <w:rsid w:val="00CD3968"/>
    <w:rsid w:val="00CE0A4F"/>
    <w:rsid w:val="00CF4AB8"/>
    <w:rsid w:val="00D159FD"/>
    <w:rsid w:val="00D428AA"/>
    <w:rsid w:val="00D57AB8"/>
    <w:rsid w:val="00DA2639"/>
    <w:rsid w:val="00DA7526"/>
    <w:rsid w:val="00DF76F2"/>
    <w:rsid w:val="00E04689"/>
    <w:rsid w:val="00E157B0"/>
    <w:rsid w:val="00E3776B"/>
    <w:rsid w:val="00E37EAE"/>
    <w:rsid w:val="00E44CF8"/>
    <w:rsid w:val="00E468A8"/>
    <w:rsid w:val="00E56A08"/>
    <w:rsid w:val="00E600A9"/>
    <w:rsid w:val="00E6552E"/>
    <w:rsid w:val="00E66676"/>
    <w:rsid w:val="00E86C5E"/>
    <w:rsid w:val="00ED7912"/>
    <w:rsid w:val="00EE5DC7"/>
    <w:rsid w:val="00F13DF9"/>
    <w:rsid w:val="00F34E3F"/>
    <w:rsid w:val="00F378CB"/>
    <w:rsid w:val="00F51DE0"/>
    <w:rsid w:val="00F82B48"/>
    <w:rsid w:val="00FF0499"/>
    <w:rsid w:val="00F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BB1A"/>
  <w15:chartTrackingRefBased/>
  <w15:docId w15:val="{8BF11699-F613-4E14-93FC-4C6DD4C6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C5F30"/>
    <w:rPr>
      <w:color w:val="808080"/>
    </w:rPr>
  </w:style>
  <w:style w:type="paragraph" w:styleId="Paragraphedeliste">
    <w:name w:val="List Paragraph"/>
    <w:basedOn w:val="Normal"/>
    <w:uiPriority w:val="34"/>
    <w:qFormat/>
    <w:rsid w:val="0095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1540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Moureaux</dc:creator>
  <cp:keywords/>
  <dc:description/>
  <cp:lastModifiedBy>Pierre Moureaux</cp:lastModifiedBy>
  <cp:revision>45</cp:revision>
  <dcterms:created xsi:type="dcterms:W3CDTF">2023-03-20T08:27:00Z</dcterms:created>
  <dcterms:modified xsi:type="dcterms:W3CDTF">2023-03-20T15:42:00Z</dcterms:modified>
</cp:coreProperties>
</file>