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4607" w14:textId="5D705B15" w:rsidR="00AD3B47" w:rsidRDefault="00853B29" w:rsidP="00BD2B4B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</w:pPr>
      <w:r w:rsidRPr="00853B29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Autor, Dorn, Katz, Patterson, Van Reenen (2020)</w:t>
      </w:r>
    </w:p>
    <w:p w14:paraId="42825B32" w14:textId="77777777" w:rsidR="00853B29" w:rsidRPr="00853B29" w:rsidRDefault="00853B29" w:rsidP="00666BCD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33DA6802" w:rsidR="006A787E" w:rsidRPr="00097CD8" w:rsidRDefault="0028755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7F6E9B33" w14:textId="77777777" w:rsidR="006A787E" w:rsidRDefault="00BB6254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26225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How to explain the decline in the labour share of GDP since the end of the 90s’? Propose to explain it due to the </w:t>
            </w:r>
            <w:r w:rsidRPr="0026225D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rise of superstar firms</w:t>
            </w:r>
            <w:r w:rsidRPr="0026225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6010DF75" w14:textId="5C49CF55" w:rsidR="008533D4" w:rsidRPr="0026225D" w:rsidRDefault="008533D4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A65C50" w:rsidRPr="00097CD8" w14:paraId="476EB7B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102ABCB0" w14:textId="7E54328F" w:rsidR="00A65C50" w:rsidRDefault="00A65C50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Context – data</w:t>
            </w:r>
          </w:p>
        </w:tc>
        <w:tc>
          <w:tcPr>
            <w:tcW w:w="8931" w:type="dxa"/>
          </w:tcPr>
          <w:p w14:paraId="5F75FF01" w14:textId="4A0A3BD3" w:rsidR="00A65C50" w:rsidRDefault="00BB6254" w:rsidP="00BB625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Context: </w:t>
            </w:r>
            <w:r w:rsidRPr="00D1086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Aggregate decline in the share of GDP paid out in compensation of Labour over time is in contradiction with one of Kaldor stylized facts</w:t>
            </w:r>
            <w:r w:rsidR="00E7639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that was observed during the twentieth century (However Keynes noted that it was kind of a miracle and was hiding lot of instability at industry level)</w:t>
            </w:r>
            <w:r w:rsidRPr="00D1086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Consensus that decline is real and significant, but not on the cause.</w:t>
            </w:r>
          </w:p>
          <w:p w14:paraId="6328706A" w14:textId="77777777" w:rsidR="00964C9D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2955F1D" w14:textId="65DE40CD" w:rsidR="00964C9D" w:rsidRPr="00964C9D" w:rsidRDefault="00964C9D" w:rsidP="00964C9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Data: </w:t>
            </w:r>
            <w:r w:rsidR="00A201C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micro-level data </w:t>
            </w:r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from the US Economic Census. For Europe: EU-KLEMS = industry-level panel data set for OECD countries + UN </w:t>
            </w:r>
            <w:proofErr w:type="spellStart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Comtrade</w:t>
            </w:r>
            <w:proofErr w:type="spellEnd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database for imports + </w:t>
            </w:r>
            <w:proofErr w:type="spellStart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CompNet</w:t>
            </w:r>
            <w:proofErr w:type="spellEnd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database that provides LS and concentration data for a wide range of industries. BVD Orbis to compute internationally firm-level decomposition of the LS. S&amp;P </w:t>
            </w:r>
            <w:proofErr w:type="spellStart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Compustat</w:t>
            </w:r>
            <w:proofErr w:type="spellEnd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database to characterize superstar firms.</w:t>
            </w: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7F3ABAC2" w14:textId="77777777" w:rsidR="00200D0D" w:rsidRPr="00D93AEA" w:rsidRDefault="00200D0D" w:rsidP="00551EC3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7 facts on </w:t>
            </w:r>
            <w:r w:rsidRPr="00D93AE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how the rise of superstar firms can lead to a decline of labour’s share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:</w:t>
            </w:r>
          </w:p>
          <w:p w14:paraId="42B4A2B7" w14:textId="3E7072DE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There’s been a 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rise in sales concentration</w:t>
            </w:r>
            <w:r w:rsidRPr="00D93AE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across most industries: reflecting 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increasing specialization of leading firms and </w:t>
            </w:r>
            <w:r w:rsidR="00E76391"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‘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large</w:t>
            </w:r>
            <w:r w:rsidR="00E76391"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’</w:t>
            </w:r>
            <w:r w:rsidR="00E7639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E76391" w:rsidRPr="00E76391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(=large share of industry sales!!)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firms are getting bigger.</w:t>
            </w:r>
          </w:p>
          <w:p w14:paraId="2CCF7D2E" w14:textId="2F021352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Industries with larger increases in product market concentration have experienced larger declines in LS.</w:t>
            </w:r>
          </w:p>
          <w:p w14:paraId="6D0E1203" w14:textId="77777777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Fall in LS in mainly driven by reallocation of VA and sales between firms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rather than by an overall decline.</w:t>
            </w:r>
          </w:p>
          <w:p w14:paraId="675812AB" w14:textId="77777777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Reallocation-driven fall in the LS is most pronounced in industries that experienced the most increased sales concentration.</w:t>
            </w:r>
          </w:p>
          <w:p w14:paraId="294AF4FA" w14:textId="77777777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Industries that are becoming the most concentrated are those with: faster growth of productivity and innovation.</w:t>
            </w:r>
          </w:p>
          <w:p w14:paraId="6FD9F557" w14:textId="77777777" w:rsidR="00200D0D" w:rsidRPr="00D93AEA" w:rsidRDefault="00964C9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E76391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Larger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firms have higher markups and size-weighted aggregate markup increased more than the non-weighted average markup! </w:t>
            </w:r>
          </w:p>
          <w:p w14:paraId="5240BF9D" w14:textId="77777777" w:rsidR="00964C9D" w:rsidRPr="00D93AEA" w:rsidRDefault="00964C9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Patterns are not unique to the US but present in OECD.</w:t>
            </w:r>
          </w:p>
          <w:p w14:paraId="7F40B206" w14:textId="77777777" w:rsidR="00964C9D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F43280C" w14:textId="51B857C0" w:rsidR="00964C9D" w:rsidRPr="00964C9D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964C9D" w:rsidRPr="00097CD8" w14:paraId="1DDF18AA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DB3DFAD" w14:textId="3B58BF4A" w:rsidR="00964C9D" w:rsidRPr="00097CD8" w:rsidRDefault="00964C9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Limitation</w:t>
            </w:r>
          </w:p>
        </w:tc>
        <w:tc>
          <w:tcPr>
            <w:tcW w:w="8931" w:type="dxa"/>
          </w:tcPr>
          <w:p w14:paraId="7898ED93" w14:textId="77777777" w:rsidR="00964C9D" w:rsidRPr="00964C9D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</w:tc>
      </w:tr>
      <w:tr w:rsidR="00964C9D" w:rsidRPr="00097CD8" w14:paraId="71821BC9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1702B06" w14:textId="3C568D98" w:rsidR="00964C9D" w:rsidRPr="00D93AEA" w:rsidRDefault="00964C9D" w:rsidP="00666BCD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Literature</w:t>
            </w:r>
          </w:p>
        </w:tc>
        <w:tc>
          <w:tcPr>
            <w:tcW w:w="8931" w:type="dxa"/>
          </w:tcPr>
          <w:p w14:paraId="522CEDF1" w14:textId="00846E32" w:rsidR="00964C9D" w:rsidRPr="00D07423" w:rsidRDefault="00D07423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E7639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General literature</w:t>
            </w:r>
            <w:r w:rsidRPr="00D07423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on the labour share approaches the topic from an </w:t>
            </w:r>
            <w:r w:rsidRPr="00E7639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aggregate point of view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thus consider </w:t>
            </w:r>
            <w:r w:rsidRPr="00E7639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homogenous changes in the LS across firms within an industry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. Which is different as the rising </w:t>
            </w:r>
            <w:r w:rsidRPr="001C623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superstar perspective allows heterogenous changes within an industry</w:t>
            </w:r>
            <w:r w:rsidR="00E76391" w:rsidRPr="001C623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7849F633" w14:textId="77777777" w:rsidR="00D07423" w:rsidRDefault="00D07423" w:rsidP="00D07423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  <w:p w14:paraId="69D314B4" w14:textId="2C999107" w:rsidR="00551EC3" w:rsidRPr="00551EC3" w:rsidRDefault="00551EC3" w:rsidP="00551EC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Contribution:</w:t>
            </w:r>
          </w:p>
          <w:p w14:paraId="7D05800F" w14:textId="6E57C158" w:rsidR="00551EC3" w:rsidRPr="00BB6254" w:rsidRDefault="00551EC3" w:rsidP="00551EC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BB625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Mi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cr</w:t>
            </w:r>
            <w:r w:rsidRPr="00BB625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o</w:t>
            </w:r>
            <w:r w:rsidRPr="00BB625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vidence on the decline of labour share </w:t>
            </w:r>
            <w:r w:rsidR="00E7639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at both </w:t>
            </w:r>
            <w:r w:rsidR="00E76391" w:rsidRPr="00E7639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industry </w:t>
            </w:r>
            <w:r w:rsidRPr="00E7639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and establishment level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across six major sectors</w:t>
            </w:r>
          </w:p>
          <w:p w14:paraId="570EA86C" w14:textId="77777777" w:rsidR="00551EC3" w:rsidRPr="00200D0D" w:rsidRDefault="00551EC3" w:rsidP="00551EC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“Rise of superstar firms” model </w:t>
            </w:r>
            <w:r w:rsidRPr="00200D0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that relies on the feature that most markets are characterized by a </w:t>
            </w:r>
            <w:r w:rsidRPr="00E763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winner takes most</w:t>
            </w:r>
            <w:r w:rsidRPr="00200D0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mechanism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8602381" w14:textId="77777777" w:rsidR="00551EC3" w:rsidRDefault="00551EC3" w:rsidP="00551EC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Present evidence in the data that aligns with rising superstar firm hypothesis.</w:t>
            </w:r>
          </w:p>
          <w:p w14:paraId="61A11DEA" w14:textId="77777777" w:rsidR="00551EC3" w:rsidRPr="00402615" w:rsidRDefault="00551EC3" w:rsidP="00402615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  <w:p w14:paraId="4F0FC02E" w14:textId="2751BE44" w:rsidR="00D07423" w:rsidRPr="00D07423" w:rsidRDefault="00D07423" w:rsidP="00D0742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Relates to other papers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that find consistent results: </w:t>
            </w:r>
          </w:p>
          <w:p w14:paraId="7C511A41" w14:textId="61FD799C" w:rsidR="00D07423" w:rsidRDefault="00D07423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0742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r w:rsidRPr="00D0742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Bockerman and Maliranta</w:t>
            </w:r>
            <w:r w:rsidRPr="00D0742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) on the breakdown of changes in </w:t>
            </w:r>
            <w:r w:rsidRPr="00D07423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Finnish manufacturing LS into between and within plant components</w:t>
            </w:r>
            <w:r w:rsidRPr="00D0742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7A91258" w14:textId="437EC60A" w:rsidR="00D07423" w:rsidRDefault="00D36318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Kehring and Vincent 2018 that also consider a micro-level decomposition from US Census.</w:t>
            </w:r>
          </w:p>
          <w:p w14:paraId="5E7CBE92" w14:textId="5A584DC4" w:rsidR="00D36318" w:rsidRPr="00D07423" w:rsidRDefault="00D36318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3631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Barkai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that finds a </w:t>
            </w:r>
            <w:r w:rsidRPr="00E7639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negative industry-level relationship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between changes in LS and changes in concentration (uses industry and aggregate data).</w:t>
            </w:r>
          </w:p>
          <w:p w14:paraId="256E2ED9" w14:textId="77777777" w:rsidR="00D36318" w:rsidRDefault="00D36318" w:rsidP="00D36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lastRenderedPageBreak/>
              <w:t xml:space="preserve">Contribution of </w:t>
            </w:r>
            <w:r w:rsidRPr="00E76391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Autor, Dorn, Katz, Patterson, Van Reenen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is the micro-level approach to apprehend the 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firm-level contribution to patterns identified by Barkai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on the industry-level relationship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B110895" w14:textId="15346018" w:rsidR="00D36318" w:rsidRDefault="00D36318" w:rsidP="00D36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Link firm-level contributions to a conceptual framework: particularly </w:t>
            </w:r>
            <w:r w:rsidR="00D93AE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what contributions for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between-firm (VA/output reallocation) and within-firm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components’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to the falling industry and aggregate level labour share.</w:t>
            </w:r>
          </w:p>
          <w:p w14:paraId="772F6D54" w14:textId="36760760" w:rsidR="00D36318" w:rsidRPr="00D36318" w:rsidRDefault="00D36318" w:rsidP="00D3631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964C9D" w:rsidRPr="00097CD8" w14:paraId="04A8E4D0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8A5DE05" w14:textId="54927BD8" w:rsidR="00964C9D" w:rsidRPr="00097CD8" w:rsidRDefault="00964C9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Method(s)</w:t>
            </w:r>
          </w:p>
        </w:tc>
        <w:tc>
          <w:tcPr>
            <w:tcW w:w="8931" w:type="dxa"/>
          </w:tcPr>
          <w:p w14:paraId="6A726FE6" w14:textId="7B150A03" w:rsidR="00964C9D" w:rsidRPr="00402615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Define a formal model </w:t>
            </w:r>
            <w:r w:rsidR="00D07423" w:rsidRP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of “</w:t>
            </w:r>
            <w:r w:rsidRP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rising superstar firms” and obtain effects of superstar firms from </w:t>
            </w:r>
            <w:r w:rsidRPr="004026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increases in the toughness of product market competition that raises the market share of most productive firms in each sector at the expense of less productive competitors</w:t>
            </w:r>
            <w:r w:rsidRP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898ECF2" w14:textId="77777777" w:rsidR="00964C9D" w:rsidRDefault="00D07423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Can obtain same results with other mechanisms such as: </w:t>
            </w:r>
            <w:r w:rsidRPr="00D0742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strong network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, rapid </w:t>
            </w:r>
            <w:r w:rsidRPr="00D0742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fall in quality-adjusted prices of ICT and intangible capital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that could give larger firms an advantage if there is an initial large cost to adopt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these tech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if marginal productivity of ICT raises with firm size (ex: large monitoring of supply chain…). Suggest that rise of superstar firms is a result of weaker antitrust laws but similar trends on firms in US and Europe where large firms are more acted upon is unlikely to be the main reason.</w:t>
            </w:r>
          </w:p>
          <w:p w14:paraId="4E433DDB" w14:textId="1FA66924" w:rsidR="00402615" w:rsidRPr="00D07423" w:rsidRDefault="00402615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964C9D" w:rsidRPr="00097CD8" w14:paraId="5C759BE4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DC3ADFF" w14:textId="60EC6D2F" w:rsidR="00964C9D" w:rsidRPr="00097CD8" w:rsidRDefault="00964C9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Results:</w:t>
            </w:r>
          </w:p>
        </w:tc>
        <w:tc>
          <w:tcPr>
            <w:tcW w:w="8931" w:type="dxa"/>
          </w:tcPr>
          <w:p w14:paraId="30F6C548" w14:textId="5F66636C" w:rsidR="00964C9D" w:rsidRDefault="00551EC3" w:rsidP="00964C9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1/ Model of Superstar firms</w:t>
            </w:r>
          </w:p>
          <w:p w14:paraId="64D47D8C" w14:textId="4D799694" w:rsidR="00551EC3" w:rsidRDefault="008058EE" w:rsidP="00551EC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More </w:t>
            </w:r>
            <w:r w:rsidR="00551E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productive firms (higher z) have greater output and have higher levels of factor inputs.</w:t>
            </w:r>
          </w:p>
          <w:p w14:paraId="3CC5EA86" w14:textId="77777777" w:rsidR="00402615" w:rsidRDefault="00402615" w:rsidP="0040261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Markup m = P/c (ratio product price, marginal cost) inversely related to labour share.</w:t>
            </w:r>
          </w:p>
          <w:p w14:paraId="7A01EBD9" w14:textId="36C1D666" w:rsidR="005D4118" w:rsidRPr="00D55E97" w:rsidRDefault="00402615" w:rsidP="005D411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55E97"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22ACBAA" wp14:editId="7ED411B2">
                  <wp:extent cx="2962468" cy="636709"/>
                  <wp:effectExtent l="0" t="0" r="0" b="0"/>
                  <wp:docPr id="1574383593" name="Picture 1" descr="A black arrows pointing to a black 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383593" name="Picture 1" descr="A black arrows pointing to a black line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174" cy="64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5D4B5" w14:textId="6BD51122" w:rsidR="005D4118" w:rsidRPr="00DB282A" w:rsidRDefault="005D4118" w:rsidP="005D41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</w:pPr>
            <w:r w:rsidRPr="00DB282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Higher markup = lower labour share</w:t>
            </w:r>
          </w:p>
          <w:p w14:paraId="0F0400D2" w14:textId="77777777" w:rsidR="00402615" w:rsidRPr="00402615" w:rsidRDefault="00402615" w:rsidP="0040261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3A1056" w14:textId="2B3A90CB" w:rsidR="00551EC3" w:rsidRPr="00551EC3" w:rsidRDefault="008058EE" w:rsidP="00551EC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Model predicted on the idea that s</w:t>
            </w:r>
            <w:r w:rsidR="00551EC3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uperstar firms </w:t>
            </w:r>
            <w:r w:rsidR="00402615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(=more productive) </w:t>
            </w:r>
            <w:r w:rsid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will be </w:t>
            </w:r>
            <w:r w:rsidR="00402615" w:rsidRPr="008058EE">
              <w:rPr>
                <w:rFonts w:ascii="Times New Roman" w:hAnsi="Times New Roman" w:cs="Times New Roman"/>
                <w:i/>
                <w:iCs/>
                <w:color w:val="FF0000"/>
                <w:sz w:val="22"/>
                <w:szCs w:val="22"/>
                <w:lang w:val="en-GB"/>
              </w:rPr>
              <w:t>larger</w:t>
            </w:r>
            <w:r w:rsidRPr="008058EE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(=sell more</w:t>
            </w:r>
            <w:r w:rsidRPr="00C8742D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!!!</w:t>
            </w:r>
            <w:r w:rsidRPr="008058EE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Larger</w:t>
            </w:r>
            <w:r w:rsidR="00C8742D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= large share of industry sales</w:t>
            </w:r>
            <w:r w:rsidRPr="008058EE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)</w:t>
            </w:r>
            <w:r w:rsidR="00402615" w:rsidRPr="008058EE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</w:t>
            </w:r>
            <w:r w:rsid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because they produce more efficiently, charge lower prices, and capture higher share of industry output = </w:t>
            </w:r>
            <w:r w:rsidR="00402615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higher market share</w:t>
            </w:r>
            <w:r w:rsid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3E8C3DA" w14:textId="09698127" w:rsidR="00402615" w:rsidRPr="00DB282A" w:rsidRDefault="005A2492" w:rsidP="005D411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Markup generally falling in absolute value 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of </w:t>
            </w:r>
            <w:r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demand 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elasticity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5D4118" w:rsidRPr="00DB282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&amp;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Marshall second law of demand: consumers are more price inelastic (=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lower elasticity of demand) at higher levels of C and lower price levels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=&gt; </w:t>
            </w:r>
            <w:r w:rsidR="005D4118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more </w:t>
            </w:r>
            <w:r w:rsidR="005D4118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productive firms</w:t>
            </w:r>
            <w:r w:rsidR="008058EE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(</w:t>
            </w:r>
            <w:r w:rsidR="00DB282A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=</w:t>
            </w:r>
            <w:r w:rsidR="00E76391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larger</w:t>
            </w:r>
            <w:r w:rsidR="00E7639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)</w:t>
            </w:r>
            <w:r w:rsidR="00E76391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=</w:t>
            </w:r>
            <w:r w:rsid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charge </w:t>
            </w:r>
            <w:r w:rsidR="005D4118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lower P</w:t>
            </w:r>
            <w:r w:rsid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="00E7639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=</w:t>
            </w:r>
            <w:r w:rsid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&gt;</w:t>
            </w:r>
            <w:r w:rsidR="005D4118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face lower elasticity of demand = have </w:t>
            </w:r>
            <w:r w:rsidR="005D4118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higher markup </w:t>
            </w:r>
            <w:r w:rsid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= </w:t>
            </w:r>
            <w:r w:rsidR="00DB282A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lower LS for larger firms</w:t>
            </w:r>
          </w:p>
          <w:p w14:paraId="4648319F" w14:textId="77777777" w:rsidR="00DB282A" w:rsidRDefault="00DB282A" w:rsidP="005D411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Lower LS for larger firms</w:t>
            </w:r>
            <w:r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DB282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=&gt;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shocks that reallocates market share toward larger firms (=high market share) will depress aggregate LS even if individual LS don’t change.</w:t>
            </w:r>
          </w:p>
          <w:p w14:paraId="04AEF8AE" w14:textId="77777777" w:rsidR="00DB282A" w:rsidRDefault="00DB282A" w:rsidP="00DB282A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7E9B5EF" w14:textId="053E7D44" w:rsidR="00BC07C5" w:rsidRPr="00BC07C5" w:rsidRDefault="00DB282A" w:rsidP="00BC07C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“Market toughness” characterized by </w:t>
            </w:r>
            <w:r w:rsidRPr="00BC07C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cut</w:t>
            </w:r>
            <w:r w:rsidR="00BC07C5" w:rsidRPr="00BC07C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-</w:t>
            </w:r>
            <w:r w:rsidRPr="00BC07C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off marginal cost</w:t>
            </w:r>
            <w:r w:rsidR="00BC07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firms with higher marginal cost exit market because they earn negative profits. </w:t>
            </w:r>
          </w:p>
          <w:p w14:paraId="0F616634" w14:textId="1B328DB2" w:rsidR="00BC07C5" w:rsidRDefault="00BC07C5" w:rsidP="00BC07C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C07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Low-productivity firms have higher marginal cost by definition: when </w:t>
            </w:r>
            <w:r w:rsidRPr="00BC07C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low prod firms exit the market there is reallocation of market share toward more productive firms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  <w:r w:rsidRPr="00BC07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6DAFC974" w14:textId="2C244227" w:rsidR="00BC07C5" w:rsidRDefault="00BC07C5" w:rsidP="00BC07C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BC07C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increase degree of sales concentration = decrease LS because more output is produced by superstar firms</w:t>
            </w:r>
            <w:r w:rsidRPr="00BC07C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(high productivity).</w:t>
            </w:r>
          </w:p>
          <w:p w14:paraId="00F96ECE" w14:textId="1DC22D54" w:rsidR="003656E2" w:rsidRDefault="00E76391" w:rsidP="00BC07C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Also, i</w:t>
            </w:r>
            <w:r w:rsidR="003656E2" w:rsidRP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ncrease in market toughness reduce all firm</w:t>
            </w:r>
            <w:r w:rsid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s’</w:t>
            </w:r>
            <w:r w:rsidR="003656E2" w:rsidRP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markup so reallocation effect = between </w:t>
            </w:r>
            <w:proofErr w:type="gramStart"/>
            <w:r w:rsidR="003656E2" w:rsidRP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firms</w:t>
            </w:r>
            <w:proofErr w:type="gramEnd"/>
            <w:r w:rsidR="003656E2" w:rsidRP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effect must be greater than the within-firm effect</w:t>
            </w:r>
            <w:r w:rsid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.</w:t>
            </w:r>
          </w:p>
          <w:p w14:paraId="4AEA05F8" w14:textId="77777777" w:rsidR="003656E2" w:rsidRDefault="003656E2" w:rsidP="003656E2">
            <w:p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</w:p>
          <w:p w14:paraId="2E9A9952" w14:textId="4802EC99" w:rsidR="003656E2" w:rsidRPr="003656E2" w:rsidRDefault="003656E2" w:rsidP="003656E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3656E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Prediction of the model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: after an increase in market toughness</w:t>
            </w:r>
          </w:p>
          <w:p w14:paraId="2A011878" w14:textId="14848B64" w:rsidR="003656E2" w:rsidRPr="003656E2" w:rsidRDefault="003656E2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(1)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Increase in firm sales concentration = market share of larger (=more productive) firms will rise = decrease LS</w:t>
            </w:r>
            <w:r w:rsidR="00C8742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&gt; </w:t>
            </w:r>
            <w:r w:rsidR="00C8742D" w:rsidRPr="00C8742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rising concentration correlates with falling LS</w:t>
            </w:r>
          </w:p>
          <w:p w14:paraId="13042349" w14:textId="1E61B316" w:rsidR="003656E2" w:rsidRPr="00D93AEA" w:rsidRDefault="003656E2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Industries where concentration ++ = LS falls the most</w:t>
            </w:r>
            <w:r w:rsidR="00D93AEA"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&amp; more reallocation toward larger/more productive firms = superstars </w:t>
            </w:r>
          </w:p>
          <w:p w14:paraId="1B521A64" w14:textId="45585571" w:rsidR="003656E2" w:rsidRPr="003656E2" w:rsidRDefault="003656E2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3656E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(3)</w:t>
            </w:r>
            <w:r w:rsidRPr="003656E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C8742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Decline in aggregate LS is mainly </w:t>
            </w:r>
            <w:r w:rsidR="00D93AEA" w:rsidRPr="00C8742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product of</w:t>
            </w:r>
            <w:r w:rsidRPr="00C8742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between-firm effect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reallocation of output / VA toward more productive firms, rather than the individual decline in LS</w:t>
            </w:r>
            <w:r w:rsidR="00D93AEA"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1DFCD760" w14:textId="43C9EEA5" w:rsidR="003656E2" w:rsidRPr="00D93AEA" w:rsidRDefault="00D93AEA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(4)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Industries that become more concentrated will have the largest productivity growth.</w:t>
            </w:r>
          </w:p>
          <w:p w14:paraId="533E8F19" w14:textId="048D56C2" w:rsidR="00D93AEA" w:rsidRPr="00D93AEA" w:rsidRDefault="00D93AEA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(5)</w:t>
            </w:r>
            <w:r w:rsidRPr="00D93AE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High markup-firm expanding &gt; aggregate markup rises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.</w:t>
            </w:r>
            <w:r w:rsidRPr="00D93A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</w:t>
            </w:r>
          </w:p>
          <w:p w14:paraId="6D1B815C" w14:textId="5E5BE057" w:rsidR="00D93AEA" w:rsidRPr="00D93AEA" w:rsidRDefault="00D93AEA" w:rsidP="00D93AE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(6)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Similar patterns of changes in concentration and LS across countries should be expected.</w:t>
            </w:r>
          </w:p>
          <w:p w14:paraId="56CB51CD" w14:textId="77777777" w:rsidR="00DB282A" w:rsidRDefault="00DB282A" w:rsidP="00DB282A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71835CF" w14:textId="77777777" w:rsidR="00D93AEA" w:rsidRDefault="00D93AEA" w:rsidP="00DB282A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FC96018" w14:textId="4398DFE4" w:rsidR="00D93AEA" w:rsidRDefault="00D93AEA" w:rsidP="00D93AEA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2/ Take model predictions to real data</w:t>
            </w:r>
          </w:p>
          <w:p w14:paraId="66C2608E" w14:textId="77777777" w:rsidR="00AC7336" w:rsidRDefault="00AC7336" w:rsidP="00D93AEA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5364C3E5" w14:textId="656FD777" w:rsidR="0059269E" w:rsidRDefault="0059269E" w:rsidP="0059269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Data description</w:t>
            </w:r>
          </w:p>
          <w:p w14:paraId="35F7D649" w14:textId="26CFED0F" w:rsidR="0059269E" w:rsidRPr="0059269E" w:rsidRDefault="0059269E" w:rsidP="0059269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59269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Labour share</w:t>
            </w:r>
          </w:p>
          <w:p w14:paraId="177E2FDA" w14:textId="70ED90EF" w:rsidR="00AC7336" w:rsidRPr="00AC7336" w:rsidRDefault="00AC7336" w:rsidP="00AC733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 w:rsidRPr="00AC7336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Measure of labour share</w:t>
            </w:r>
            <w:r w:rsidR="00C8742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= payroll to sales ratio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Payroll (+broader measures of compensation)/sales and not VA because this is the measure that can be constructed for other sectors than manufacturing. </w:t>
            </w:r>
          </w:p>
          <w:p w14:paraId="5B39327A" w14:textId="1368BCCF" w:rsidR="00AC7336" w:rsidRPr="0059269E" w:rsidRDefault="00AC7336" w:rsidP="00AC733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All sectors show an </w:t>
            </w:r>
            <w:r w:rsidRPr="006F38C2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aggregate</w:t>
            </w: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decline of LS since the early 2000s’ at least.</w:t>
            </w:r>
          </w:p>
          <w:p w14:paraId="4E76AEF4" w14:textId="12106347" w:rsidR="00AC7336" w:rsidRPr="0059269E" w:rsidRDefault="00AC7336" w:rsidP="00AC733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Late 90s’ </w:t>
            </w:r>
            <w:r w:rsidR="0059269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peculiar: all sectors witnessed an increase in LS except manufacturing = period characterized by strong labour market with high wage and employment growth.</w:t>
            </w:r>
          </w:p>
          <w:p w14:paraId="107E8713" w14:textId="77777777" w:rsidR="0059269E" w:rsidRDefault="0059269E" w:rsidP="0059269E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3928FF92" w14:textId="5FC140EE" w:rsidR="0059269E" w:rsidRPr="0059269E" w:rsidRDefault="0059269E" w:rsidP="0059269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59269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Product concentration</w:t>
            </w:r>
          </w:p>
          <w:p w14:paraId="04F09F62" w14:textId="2C9FCA61" w:rsidR="0059269E" w:rsidRDefault="0059269E" w:rsidP="0059269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CR4 = fraction of total sales accrued by 4 largest firms in an industry</w:t>
            </w:r>
          </w:p>
          <w:p w14:paraId="6D6D7A32" w14:textId="430D3698" w:rsidR="0059269E" w:rsidRDefault="0059269E" w:rsidP="0059269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CR20 = fraction of total sales accrued by 4 largest firms in an industry</w:t>
            </w:r>
          </w:p>
          <w:p w14:paraId="2B263212" w14:textId="00AB8B0A" w:rsidR="0059269E" w:rsidRPr="00E76391" w:rsidRDefault="0059269E" w:rsidP="0059269E">
            <w:pPr>
              <w:pStyle w:val="ListParagrap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E763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‘Largest’ = sales-based or employment-based.</w:t>
            </w:r>
          </w:p>
          <w:p w14:paraId="7D8B3129" w14:textId="77777777" w:rsidR="0059269E" w:rsidRPr="0059269E" w:rsidRDefault="0059269E" w:rsidP="0059269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Clear upward trend over time: </w:t>
            </w:r>
            <w:r w:rsidRPr="00A54AA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according to all concentration measures industries have become more concentrated</w:t>
            </w: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194B4E6A" w14:textId="29B133C1" w:rsidR="0059269E" w:rsidRPr="00E76391" w:rsidRDefault="0059269E" w:rsidP="0059269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Trend is stronger when measuring concentration in sales</w:t>
            </w: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rather than employment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: 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firms may attain large market share with relatively few </w:t>
            </w:r>
            <w:r w:rsidR="004A6299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more 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workers</w:t>
            </w:r>
            <w:r w:rsidR="00A54AAA"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.</w:t>
            </w:r>
          </w:p>
          <w:p w14:paraId="7FB5DE24" w14:textId="77777777" w:rsidR="00E76391" w:rsidRPr="0059269E" w:rsidRDefault="00E76391" w:rsidP="00E76391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603FCBC" w14:textId="0E1B4B15" w:rsidR="0059269E" w:rsidRPr="00A54AAA" w:rsidRDefault="00E76391" w:rsidP="0059269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E7639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(?)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  <w:r w:rsidR="0059269E" w:rsidRPr="00A54AA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Increased concentration is due to</w:t>
            </w:r>
            <w:r w:rsidR="004A629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  <w:r w:rsidR="0059269E" w:rsidRPr="00A54AA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superstar firms expanding their scope over multiple industries </w:t>
            </w:r>
            <w:r w:rsidR="0059269E" w:rsidRPr="00C8742D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or</w:t>
            </w:r>
            <w:r w:rsidR="0059269E" w:rsidRPr="00A54AA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superstar firms </w:t>
            </w:r>
            <w:r w:rsidR="00A54AAA" w:rsidRPr="00A54AA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become more concentrated in their line of work?</w:t>
            </w:r>
          </w:p>
          <w:p w14:paraId="03D276EE" w14:textId="0458366F" w:rsidR="0059269E" w:rsidRPr="00C8742D" w:rsidRDefault="00A54AAA" w:rsidP="00A54AA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Data suggest firms are becoming </w:t>
            </w: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more concentrated in their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primary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line of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work</w:t>
            </w: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but less integrated across other activities.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A6299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Companies like Amazon (dominant across multiple industries) are an exception.</w:t>
            </w:r>
          </w:p>
          <w:p w14:paraId="7ED561AB" w14:textId="77777777" w:rsidR="00C8742D" w:rsidRDefault="00C8742D" w:rsidP="00C8742D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A07FD89" w14:textId="34D52BB9" w:rsidR="00C8742D" w:rsidRDefault="00C8742D" w:rsidP="00C8742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 w:rsidRPr="00C8742D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Empirical tests on model predictions</w:t>
            </w:r>
          </w:p>
          <w:p w14:paraId="5B993235" w14:textId="77777777" w:rsidR="00D55E97" w:rsidRPr="00C8742D" w:rsidRDefault="00D55E97" w:rsidP="00D55E97">
            <w:pPr>
              <w:pStyle w:val="ListParagrap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45C12D21" w14:textId="697C434C" w:rsidR="00D55E97" w:rsidRDefault="00C8742D" w:rsidP="00D55E9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 w:rsidRPr="00D55E9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Rising concentration correlates with falling LS</w:t>
            </w:r>
            <w:r w:rsidR="00D55E97" w:rsidRPr="00D55E9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:</w:t>
            </w:r>
          </w:p>
          <w:p w14:paraId="258DC5F3" w14:textId="77777777" w:rsidR="00D55E97" w:rsidRPr="00D55E97" w:rsidRDefault="00D55E97" w:rsidP="00D55E97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</w:p>
          <w:p w14:paraId="62FD82BF" w14:textId="04F495FD" w:rsidR="00D55E97" w:rsidRPr="00D55E97" w:rsidRDefault="00D55E97" w:rsidP="00D55E97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55E97">
              <w:rPr>
                <w:rFonts w:ascii="Times New Roman" w:hAnsi="Times New Roman" w:cs="Times New Roman"/>
                <w:noProof/>
                <w:color w:val="0432FF"/>
                <w:sz w:val="22"/>
                <w:szCs w:val="22"/>
                <w:lang w:val="en-GB"/>
              </w:rPr>
              <w:drawing>
                <wp:inline distT="0" distB="0" distL="0" distR="0" wp14:anchorId="362AAE5A" wp14:editId="7B212EE6">
                  <wp:extent cx="2031023" cy="360649"/>
                  <wp:effectExtent l="0" t="0" r="1270" b="0"/>
                  <wp:docPr id="2077116420" name="Picture 2" descr="A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116420" name="Picture 2" descr="A black and white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334" cy="37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7451E" w14:textId="19FA8050" w:rsidR="00D55E97" w:rsidRDefault="00D55E97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Manufacturing</w:t>
            </w:r>
            <w:r w:rsidR="00301C14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 xml:space="preserve"> industries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="00CD72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</w:t>
            </w:r>
            <w:r w:rsidR="00301C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egression LS on concentration and control variables. 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triking correlation</w:t>
            </w:r>
            <w:r w:rsidR="004A629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4A629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r w:rsidR="004A6299" w:rsidRPr="004A629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beta significantly negative</w:t>
            </w:r>
            <w:r w:rsidR="004A629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with all concentration measures</w:t>
            </w:r>
            <w:r w:rsidR="00301C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301C14" w:rsidRPr="004A629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industries j where concentration rose the most were those where the LS fell the most</w:t>
            </w:r>
            <w:r w:rsidR="00301C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. Robustness test by considering broader measures of LS. Also include </w:t>
            </w:r>
            <w:r w:rsidR="00301C14" w:rsidRPr="00301C1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industry-specific trends (with dummies) to exclusively </w:t>
            </w:r>
            <w:r w:rsidR="00CD72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identify </w:t>
            </w:r>
            <w:r w:rsidR="00301C14" w:rsidRPr="00301C1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the accelerating/decelerating </w:t>
            </w:r>
            <w:r w:rsidR="00301C14" w:rsidRPr="00301C1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concentration effect on LS which remains significant and negative</w:t>
            </w:r>
            <w:r w:rsidR="00301C14" w:rsidRPr="00301C1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27C3A68" w14:textId="77777777" w:rsidR="004A6299" w:rsidRDefault="004A6299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6CC7B8F0" w14:textId="3BC4F9C5" w:rsidR="009A5410" w:rsidRDefault="009A5410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9A541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Trade concerns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Pr="004A629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concentration measures may overstate effective concentration as it only takes domestic sales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</w:t>
            </w:r>
            <w:r w:rsidRPr="004A70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include growth of import relative to VA and still find that concentration effect is significantly negative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63D6960" w14:textId="77777777" w:rsidR="004A6299" w:rsidRDefault="004A6299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96C7F1D" w14:textId="1AC4C611" w:rsidR="004A70EA" w:rsidRDefault="009A5410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4A70EA" w:rsidRPr="004A70E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Effect of f</w:t>
            </w:r>
            <w:r w:rsidRPr="009A541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alling investment goods prices: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4A70E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under this hypothesis capital-intensive industries should see their LS decline. Include capital intensity in the regression: expect significant negative coefficient</w:t>
            </w:r>
            <w:r w:rsidR="004A629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under this hypothesis</w:t>
            </w:r>
            <w:r w:rsidR="004A70E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. </w:t>
            </w:r>
          </w:p>
          <w:p w14:paraId="0B90579C" w14:textId="77777777" w:rsidR="00D55E97" w:rsidRDefault="004A70EA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Result = </w:t>
            </w:r>
            <w:r w:rsidRPr="004A70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concentration coeff is little changed when </w:t>
            </w:r>
            <w:proofErr w:type="gramStart"/>
            <w:r w:rsidRPr="004A70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taking into account</w:t>
            </w:r>
            <w:proofErr w:type="gramEnd"/>
            <w:r w:rsidRPr="004A70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capital intensity (initial capital/VA)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r w:rsidRPr="004A629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superstar mechanism linking falling industry-level average LS to rising concentration is not the effect of differentiated industry capital intensity trends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266F770" w14:textId="77777777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9CC5670" w14:textId="18EA8D67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All sectors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Pr="005E242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lack consistent data and especially do not have VA outside of manufacturing!</w:t>
            </w:r>
          </w:p>
          <w:p w14:paraId="0F506AE2" w14:textId="064B8BE4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</w:t>
            </w:r>
            <w:r w:rsidRPr="005E242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LS = payroll to sales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ratio instead of Payroll to VA</w:t>
            </w:r>
          </w:p>
          <w:p w14:paraId="5C64069C" w14:textId="4DBAB9CC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</w:t>
            </w:r>
            <w:r w:rsidRPr="00A85A1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Across main sectors and different measures of concentration: rising concentration is uniformly associated with a fall in the LS</w:t>
            </w:r>
            <w:r w:rsidR="00A30236" w:rsidRPr="00A85A1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.</w:t>
            </w:r>
          </w:p>
          <w:p w14:paraId="1E30CCF7" w14:textId="77777777" w:rsidR="00A85A1A" w:rsidRPr="00A85A1A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  <w:r w:rsidRPr="00A30236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=&gt;</w:t>
            </w:r>
            <w:r w:rsidRPr="00A85A1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Because most</w:t>
            </w:r>
            <w:r w:rsidR="00A30236" w:rsidRPr="00A85A1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of e</w:t>
            </w:r>
            <w:r w:rsidRPr="00A85A1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mployment and output is produced outside of manufacturing this makes the result much more important! </w:t>
            </w:r>
          </w:p>
          <w:p w14:paraId="708AC803" w14:textId="58B1204B" w:rsidR="005E242D" w:rsidRPr="00A85A1A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  <w:r w:rsidRPr="00A85A1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Increases relevancy of </w:t>
            </w:r>
            <w:r w:rsidR="00A30236" w:rsidRPr="00A85A1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Concentration/LS relationship for the US economy.</w:t>
            </w:r>
          </w:p>
          <w:p w14:paraId="3EE78EDB" w14:textId="77777777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DB960B6" w14:textId="77777777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7DB929B" w14:textId="13DA6E7E" w:rsidR="00A30236" w:rsidRDefault="00A30236" w:rsidP="00A3023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Between-firm </w:t>
            </w:r>
            <w:r w:rsidR="00E7639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(Within-industry!) </w:t>
            </w: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reallocation drives the fall in LS:</w:t>
            </w:r>
          </w:p>
          <w:p w14:paraId="550F560D" w14:textId="490E5E77" w:rsidR="00FB7B79" w:rsidRDefault="00B31115" w:rsidP="00FB7B79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! </w:t>
            </w:r>
            <w:r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(</w:t>
            </w:r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LS = payroll/</w:t>
            </w:r>
            <w:proofErr w:type="gramStart"/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VA(</w:t>
            </w:r>
            <w:proofErr w:type="spellStart"/>
            <w:proofErr w:type="gramEnd"/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manuf</w:t>
            </w:r>
            <w:proofErr w:type="spellEnd"/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) </w:t>
            </w:r>
            <w:proofErr w:type="spellStart"/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sinon</w:t>
            </w:r>
            <w:proofErr w:type="spellEnd"/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LS=payroll/sales</w:t>
            </w:r>
            <w:r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!</w:t>
            </w:r>
          </w:p>
          <w:p w14:paraId="1B55F6CD" w14:textId="3464E2A8" w:rsidR="00FB7B79" w:rsidRPr="00FB7B79" w:rsidRDefault="00E76391" w:rsidP="00FB7B79">
            <w:pPr>
              <w:pStyle w:val="ListParagraph"/>
              <w:ind w:left="144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&gt; </w:t>
            </w:r>
            <w:r w:rsidR="00FB7B7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Addition compared to Barkai!</w:t>
            </w:r>
          </w:p>
          <w:p w14:paraId="314B13CE" w14:textId="77777777" w:rsidR="00B31115" w:rsidRPr="00972053" w:rsidRDefault="00B31115" w:rsidP="00972053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23F4E5AF" w14:textId="798D9AE1" w:rsidR="00A30236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A85A1A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Melitz-</w:t>
            </w:r>
            <w:proofErr w:type="spellStart"/>
            <w:r w:rsidRPr="00A85A1A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Polanec</w:t>
            </w:r>
            <w:proofErr w:type="spellEnd"/>
            <w:r w:rsidRPr="00A85A1A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 xml:space="preserve"> </w:t>
            </w:r>
            <w:r w:rsidRPr="007F3EE5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decomposition of changes in the industry-aggregate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labour share taking into accounts entry E, exits X, and survivors S!</w:t>
            </w:r>
          </w:p>
          <w:p w14:paraId="76D13E81" w14:textId="2F393AAA" w:rsidR="00A30236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18C53FD" wp14:editId="039612B3">
                  <wp:extent cx="3238500" cy="419100"/>
                  <wp:effectExtent l="0" t="0" r="0" b="0"/>
                  <wp:docPr id="1139698936" name="Picture 4" descr="A black and white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698936" name="Picture 4" descr="A black and white symbol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E1BE4" w14:textId="3FE29AC9" w:rsidR="00A30236" w:rsidRPr="001F2E9A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proofErr w:type="spellStart"/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wi</w:t>
            </w:r>
            <w:proofErr w:type="spellEnd"/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valued-added share of firm </w:t>
            </w:r>
            <w:proofErr w:type="spellStart"/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i</w:t>
            </w:r>
            <w:proofErr w:type="spellEnd"/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in industry</w:t>
            </w:r>
            <w:r w:rsidR="001F2E9A"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and Si LS. Bar = unweighted.</w:t>
            </w:r>
          </w:p>
          <w:p w14:paraId="54213309" w14:textId="4B81BDFD" w:rsidR="00A30236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B62707F" wp14:editId="37BBB38C">
                  <wp:extent cx="4273062" cy="852309"/>
                  <wp:effectExtent l="0" t="0" r="0" b="0"/>
                  <wp:docPr id="647203867" name="Picture 3" descr="A close-up of a math proble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203867" name="Picture 3" descr="A close-up of a math proble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545" cy="87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6703B" w14:textId="5D1C9B36" w:rsidR="00A30236" w:rsidRPr="001F2E9A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First term is unweighted-average change in labour share. (among survivors).</w:t>
            </w:r>
          </w:p>
          <w:p w14:paraId="0216D553" w14:textId="50E2F173" w:rsidR="001F2E9A" w:rsidRDefault="00A30236" w:rsidP="001F2E9A">
            <w:pPr>
              <w:pStyle w:val="ListParagraph"/>
              <w:ind w:left="144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WE/WS = value-add</w:t>
            </w:r>
            <w:r w:rsidR="001F2E9A"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ed weighted average LS of E or X firms.</w:t>
            </w:r>
          </w:p>
          <w:p w14:paraId="4CF84EC8" w14:textId="77777777" w:rsidR="001F2E9A" w:rsidRDefault="001F2E9A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6994AFE" w14:textId="463BACAF" w:rsidR="001F2E9A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Reallocation component = change in covariance between </w:t>
            </w:r>
            <w:r w:rsidR="001F2E9A" w:rsidRPr="001F2E9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firm size = VA-share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LS for survivors.</w:t>
            </w:r>
          </w:p>
          <w:p w14:paraId="1FBA979C" w14:textId="3899419B" w:rsidR="001F2E9A" w:rsidRDefault="001F2E9A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F2E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=&gt;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Melitz-</w:t>
            </w:r>
            <w:proofErr w:type="spellStart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Polanec</w:t>
            </w:r>
            <w:proofErr w:type="spellEnd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decomposition of changes in the industry-aggregate LS: c</w:t>
            </w:r>
            <w:r w:rsidRPr="001F2E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onsistent with superstar framework </w:t>
            </w:r>
            <w:r w:rsidRPr="001F2E9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reallocation term (among survivors) was the main component of the fall</w:t>
            </w:r>
            <w:r w:rsidRPr="001F2E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for both 82-97 / 92-12</w:t>
            </w:r>
          </w:p>
          <w:p w14:paraId="104A1E03" w14:textId="0AF4B1EB" w:rsidR="001F2E9A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1F2E9A" w:rsidRP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1F2E9A" w:rsidRPr="00972053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Reallocation effects from entry and exit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exiting firms contribute to decrease in LS = </w:t>
            </w:r>
            <w:proofErr w:type="spellStart"/>
            <w:r w:rsidR="00F441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bc</w:t>
            </w:r>
            <w:proofErr w:type="spellEnd"/>
            <w:r w:rsidR="00F441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exiting firms</w:t>
            </w:r>
            <w:r w:rsidR="00F441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are most likely to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have high LS = mo</w:t>
            </w:r>
            <w:r w:rsidR="00F441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st 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likely not to be profitable. New firms tend to have higher LS</w:t>
            </w:r>
            <w:r w:rsidR="009720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to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build market share</w:t>
            </w:r>
            <w:r w:rsidR="009720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charge low output price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…</w:t>
            </w:r>
          </w:p>
          <w:p w14:paraId="1A6626FA" w14:textId="77777777" w:rsidR="00B31115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75BF31F" w14:textId="5C7F64B4" w:rsidR="00B31115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B3111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Decomposition </w:t>
            </w:r>
            <w:r w:rsidR="00A85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by</w:t>
            </w:r>
            <w:r w:rsidRPr="00B3111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five-year periods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for Manufacturing:</w:t>
            </w:r>
          </w:p>
          <w:p w14:paraId="6D286945" w14:textId="51DC551A" w:rsidR="00B31115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Consider LS = payroll share of VA &amp; broader measure of LS = compensation share of VA</w:t>
            </w:r>
          </w:p>
          <w:p w14:paraId="29B1FB78" w14:textId="5822A6CE" w:rsidR="00B31115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B311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B3111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Reallocation among surviving firms contributes negatively and </w:t>
            </w:r>
            <w:r w:rsidRPr="00A85A1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with broader measure of LS almost </w:t>
            </w:r>
            <w:r w:rsidR="006F38C2" w:rsidRPr="00A85A1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all</w:t>
            </w:r>
            <w:r w:rsidRPr="00A85A1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the fall in LS can be explained by between-firm reallocation of VA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353E25DF" w14:textId="7813B3F6" w:rsidR="00F56E64" w:rsidRDefault="00AA617B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=&gt; </w:t>
            </w:r>
            <w:r w:rsidR="00F56E6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Between-survivor reallocation effect contributes to the decline of payroll share </w:t>
            </w:r>
            <w:r w:rsidR="00F56E64" w:rsidRPr="00F56E64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(weighted-average)</w:t>
            </w:r>
            <w:r w:rsidR="00F56E6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="006F38C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generalizes to</w:t>
            </w:r>
            <w:r w:rsidR="00F56E6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each major sector. </w:t>
            </w:r>
          </w:p>
          <w:p w14:paraId="4864063B" w14:textId="77777777" w:rsidR="00B527A5" w:rsidRPr="00B527A5" w:rsidRDefault="00B527A5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</w:p>
          <w:p w14:paraId="506A5CD9" w14:textId="12A6D2D7" w:rsidR="00AA617B" w:rsidRPr="00B527A5" w:rsidRDefault="0009433A" w:rsidP="00B527A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proofErr w:type="gramStart"/>
            <w:r w:rsidRPr="00B527A5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/!\</w:t>
            </w:r>
            <w:proofErr w:type="gramEnd"/>
            <w:r w:rsidRPr="00B527A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The 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>unweighted firm mean LS contribution is positive for almost all sectors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: coherent with model predictions. For productivity distribution sufficiently skewed, an 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 xml:space="preserve">increase in toughness of competition reduces margins thus raising individual LS of all firms </w:t>
            </w:r>
            <w:r w:rsidR="00F56E64" w:rsidRPr="00B527A5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u w:val="single"/>
                <w:lang w:val="en-GB"/>
              </w:rPr>
              <w:t>BUT reallocates so much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 xml:space="preserve"> market share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</w:t>
            </w:r>
            <w:r w:rsidR="00F56E64" w:rsidRPr="00B527A5">
              <w:rPr>
                <w:rFonts w:ascii="Times New Roman" w:hAnsi="Times New Roman" w:cs="Times New Roman"/>
                <w:i/>
                <w:iCs/>
                <w:color w:val="FF0000"/>
                <w:sz w:val="22"/>
                <w:szCs w:val="22"/>
                <w:lang w:val="en-GB"/>
              </w:rPr>
              <w:t>(=sales)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 xml:space="preserve">to firm with high markups/low LS that the aggregate </w:t>
            </w:r>
            <w:r w:rsidR="00F56E64" w:rsidRPr="00B527A5">
              <w:rPr>
                <w:rFonts w:ascii="Times New Roman" w:hAnsi="Times New Roman" w:cs="Times New Roman"/>
                <w:i/>
                <w:iCs/>
                <w:color w:val="FF0000"/>
                <w:sz w:val="22"/>
                <w:szCs w:val="22"/>
                <w:u w:val="single"/>
                <w:lang w:val="en-GB"/>
              </w:rPr>
              <w:t>(weighted)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 xml:space="preserve"> LS </w:t>
            </w:r>
            <w:r w:rsidR="007F3EE5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>falls,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and aggregate markup rises</w:t>
            </w:r>
            <w:r w:rsidRPr="00B527A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B527A5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/!\</w:t>
            </w:r>
            <w:proofErr w:type="gramEnd"/>
          </w:p>
          <w:p w14:paraId="49B7031D" w14:textId="77777777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</w:p>
          <w:p w14:paraId="51AACA68" w14:textId="77777777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</w:p>
          <w:p w14:paraId="1A640478" w14:textId="77777777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</w:p>
          <w:p w14:paraId="3A6F255F" w14:textId="7E24465B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</w:t>
            </w:r>
            <w:r w:rsidRPr="00292E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292EF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Assess the magnitude of between-industry reallocation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</w:p>
          <w:p w14:paraId="74833A16" w14:textId="12257EE8" w:rsidR="007F3EE5" w:rsidRPr="007F3EE5" w:rsidRDefault="007F3EE5" w:rsidP="007F3EE5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F3EE5"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38253A3" wp14:editId="40BA2F6E">
                  <wp:extent cx="2079870" cy="439176"/>
                  <wp:effectExtent l="0" t="0" r="3175" b="5715"/>
                  <wp:docPr id="236146527" name="Picture 1" descr="A black and white image of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146527" name="Picture 1" descr="A black and white image of symbol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786" cy="45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42E97" w14:textId="63018DF1" w:rsidR="009A0028" w:rsidRDefault="009A0028" w:rsidP="009A0028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Decompose overall (weighted) aggregate LS into between-industry &amp; within-industry components. Within-industry</w:t>
            </w:r>
            <w:r w:rsidR="00B02E2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B02E2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deltaSj</w:t>
            </w:r>
            <w:proofErr w:type="spellEnd"/>
            <w:r w:rsidR="00B02E2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component is decomposed into 4 components using Melitz-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Polanec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0E74355" w14:textId="44FFA827" w:rsidR="009A0028" w:rsidRPr="009A0028" w:rsidRDefault="009A0028" w:rsidP="009A0028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92E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9A002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5-component decomposition of aggregate LS: show that the fall in </w:t>
            </w:r>
            <w:r w:rsidRPr="009A002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aggregate LS is dominated by within-industry</w:t>
            </w: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-</w:t>
            </w:r>
            <w:r w:rsidRPr="009A002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between-survivor reallocation</w:t>
            </w: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!</w:t>
            </w:r>
          </w:p>
          <w:p w14:paraId="30247A55" w14:textId="77777777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14:paraId="391AC86D" w14:textId="0DD6F1DE" w:rsidR="00CD729A" w:rsidRPr="00CD729A" w:rsidRDefault="00CD729A" w:rsidP="00CD72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Across most US private sector economy, there has been a decline in aggregate LS and a rise in sales concentration &gt; the fall in the LS is greater in industries that saw greater increase in concentration. The fall in aggregate LS is mainly accounted for by within-industry-between-firm reallocation </w:t>
            </w:r>
            <w:r w:rsidR="00377D60">
              <w:rPr>
                <w:rFonts w:ascii="Times New Roman" w:hAnsi="Times New Roman" w:cs="Times New Roman"/>
                <w:i/>
                <w:iCs/>
                <w:color w:val="FF0000"/>
                <w:sz w:val="22"/>
                <w:szCs w:val="22"/>
                <w:lang w:val="en-GB"/>
              </w:rPr>
              <w:t xml:space="preserve">of sales and VA </w:t>
            </w:r>
            <w:r w:rsidR="00377D60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rather than by individual LS decline.</w:t>
            </w:r>
          </w:p>
          <w:p w14:paraId="1D5535E1" w14:textId="77777777" w:rsidR="00CD729A" w:rsidRDefault="00CD729A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14:paraId="5D3999DF" w14:textId="3409A925" w:rsidR="00CD729A" w:rsidRDefault="00CD729A" w:rsidP="00CD729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Between-firm reallocation is stronger in concentrating industries:</w:t>
            </w:r>
          </w:p>
          <w:p w14:paraId="364050BE" w14:textId="77777777" w:rsidR="004429C9" w:rsidRDefault="004429C9" w:rsidP="004429C9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Reallocation component of falling LS should be most pronounced in industries where concentration is differentially rising as superstar firms capture market share with their relatively high productivity and toughening competition. </w:t>
            </w:r>
          </w:p>
          <w:p w14:paraId="3FC1EE96" w14:textId="7EE266EB" w:rsidR="004429C9" w:rsidRDefault="004429C9" w:rsidP="004429C9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If concentration was rising due to weakening competition, would expect general rise in markups, profit shares and fall in LS common across firms within an industry.</w:t>
            </w:r>
          </w:p>
          <w:p w14:paraId="3E2B2BFB" w14:textId="052B38A9" w:rsidR="004429C9" w:rsidRDefault="004429C9" w:rsidP="004429C9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429C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Relationship between Melitz-</w:t>
            </w:r>
            <w:proofErr w:type="spellStart"/>
            <w:r w:rsidRPr="004429C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Polanec</w:t>
            </w:r>
            <w:proofErr w:type="spellEnd"/>
            <w:r w:rsidRPr="004429C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components of industry-aggregate LS decomposition</w:t>
            </w:r>
            <w:r w:rsidR="0080499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and change in concentration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80499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identified correlations between rising concentration and falling LS (1) are mainly driven by reallocation component of LS (beta most significant and negative for concentration on between-firm comp).</w:t>
            </w:r>
          </w:p>
          <w:p w14:paraId="5997204C" w14:textId="4FA7A73B" w:rsidR="00804991" w:rsidRPr="004429C9" w:rsidRDefault="00804991" w:rsidP="004429C9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80499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Consistent with superstar hypothesis, concentrating industries experienced a reallocation of economic activity toward firms with lower LS.</w:t>
            </w:r>
          </w:p>
          <w:p w14:paraId="5EF9E94F" w14:textId="64F624F7" w:rsidR="004429C9" w:rsidRPr="004429C9" w:rsidRDefault="004429C9" w:rsidP="004429C9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F4145A4" w14:textId="4AEC04F3" w:rsidR="007D3640" w:rsidRDefault="007D3640" w:rsidP="007D364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Larger firms have higher markup &amp; aggregate markup rises:</w:t>
            </w:r>
          </w:p>
          <w:p w14:paraId="06F43612" w14:textId="3EAD3A34" w:rsidR="007D3640" w:rsidRPr="007D3640" w:rsidRDefault="007D3640" w:rsidP="007D3640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Can either obtain markups via econometric approach by estimating a production function and assuming constant return to scales or via an accounting approach where markup is ratio of sales to total cost.</w:t>
            </w:r>
          </w:p>
          <w:p w14:paraId="65FE0603" w14:textId="6EF60A2C" w:rsidR="00CD729A" w:rsidRDefault="007D3640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Both case pb is to get data, especially regarding capital (outside of manufacturing). </w:t>
            </w:r>
            <w:r w:rsidRPr="007D364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Focus on Census of Manufactures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,</w:t>
            </w:r>
            <w:r w:rsidRPr="007D364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  <w:proofErr w:type="gramStart"/>
            <w:r w:rsidRPr="007D364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where</w:t>
            </w:r>
            <w:proofErr w:type="gramEnd"/>
            <w:r w:rsidRPr="007D364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richer data available.</w:t>
            </w:r>
          </w:p>
          <w:p w14:paraId="11135A7D" w14:textId="074C30C5" w:rsidR="007D3640" w:rsidRDefault="007D3640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&gt; VA-weighted average markup </w:t>
            </w:r>
            <w:r w:rsidRPr="007D364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always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exceeds unweighted markup = </w:t>
            </w:r>
            <w:r w:rsidRPr="007D364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larger firms have higher markup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.</w:t>
            </w:r>
          </w:p>
          <w:p w14:paraId="07D7DFC7" w14:textId="79DDF031" w:rsidR="007D3640" w:rsidRDefault="007D3640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&gt; Aggregate markup </w:t>
            </w:r>
            <w:proofErr w:type="gramStart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have</w:t>
            </w:r>
            <w:proofErr w:type="gramEnd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risen considerably over sample period (80s-2010).</w:t>
            </w:r>
          </w:p>
          <w:p w14:paraId="1184CE02" w14:textId="2D44F160" w:rsidR="007D3640" w:rsidRDefault="007D3640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&gt; Across all measures of markup aggregate markup has risen much more quickly that the typical-firm markup (median) = aggregate markups are driven by changing market shares and markup of largest firms.</w:t>
            </w:r>
          </w:p>
          <w:p w14:paraId="3A37DA60" w14:textId="77777777" w:rsidR="007D3640" w:rsidRDefault="007D3640" w:rsidP="007D3640">
            <w:pP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029B3B1D" w14:textId="00B7AEF8" w:rsidR="007D3640" w:rsidRDefault="007D3640" w:rsidP="007D364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Concentrating industries have higher growth of innovation and productivity:</w:t>
            </w:r>
          </w:p>
          <w:p w14:paraId="619BCF9F" w14:textId="77777777" w:rsidR="007D3640" w:rsidRPr="007D3640" w:rsidRDefault="007D3640" w:rsidP="007D3640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5008309" w14:textId="77777777" w:rsidR="007D3640" w:rsidRPr="007D3640" w:rsidRDefault="007D3640" w:rsidP="007D3640">
            <w:pP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7F6AF827" w14:textId="4C7D2154" w:rsidR="00292EF8" w:rsidRPr="00292EF8" w:rsidRDefault="00292EF8" w:rsidP="00292EF8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11DADF8" w14:textId="45F9B9E2" w:rsidR="00B31115" w:rsidRPr="00B31115" w:rsidRDefault="00B31115" w:rsidP="00B31115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2888B9E" w14:textId="77777777" w:rsidR="00B31115" w:rsidRPr="001F2E9A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6F6FDDB" w14:textId="6541AF74" w:rsidR="005E242D" w:rsidRPr="00A30236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7C2"/>
    <w:multiLevelType w:val="hybridMultilevel"/>
    <w:tmpl w:val="928C97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C2489"/>
    <w:multiLevelType w:val="hybridMultilevel"/>
    <w:tmpl w:val="04E401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D092E"/>
    <w:multiLevelType w:val="hybridMultilevel"/>
    <w:tmpl w:val="1E3C35C4"/>
    <w:lvl w:ilvl="0" w:tplc="FB9E9F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8D6"/>
    <w:multiLevelType w:val="hybridMultilevel"/>
    <w:tmpl w:val="EBC8EDA0"/>
    <w:lvl w:ilvl="0" w:tplc="98882702">
      <w:numFmt w:val="bullet"/>
      <w:lvlText w:val=""/>
      <w:lvlJc w:val="left"/>
      <w:pPr>
        <w:ind w:left="1495" w:hanging="360"/>
      </w:pPr>
      <w:rPr>
        <w:rFonts w:ascii="Wingdings" w:eastAsiaTheme="minorHAnsi" w:hAnsi="Wingdings" w:cs="Times New Roman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6745"/>
    <w:multiLevelType w:val="hybridMultilevel"/>
    <w:tmpl w:val="72D6EB1C"/>
    <w:lvl w:ilvl="0" w:tplc="970AF72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63A3D"/>
    <w:multiLevelType w:val="hybridMultilevel"/>
    <w:tmpl w:val="CE84220E"/>
    <w:lvl w:ilvl="0" w:tplc="70EEF5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8F3760"/>
    <w:multiLevelType w:val="hybridMultilevel"/>
    <w:tmpl w:val="325075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5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A0205"/>
    <w:multiLevelType w:val="hybridMultilevel"/>
    <w:tmpl w:val="CC5ECD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576C3"/>
    <w:multiLevelType w:val="hybridMultilevel"/>
    <w:tmpl w:val="E49CDE18"/>
    <w:lvl w:ilvl="0" w:tplc="95EE67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E9"/>
    <w:multiLevelType w:val="hybridMultilevel"/>
    <w:tmpl w:val="CA26C58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B00F93"/>
    <w:multiLevelType w:val="hybridMultilevel"/>
    <w:tmpl w:val="1402F818"/>
    <w:lvl w:ilvl="0" w:tplc="7D22ED9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3" w15:restartNumberingAfterBreak="0">
    <w:nsid w:val="7FA23497"/>
    <w:multiLevelType w:val="hybridMultilevel"/>
    <w:tmpl w:val="C0D2BE2A"/>
    <w:lvl w:ilvl="0" w:tplc="5302E2C2">
      <w:start w:val="1"/>
      <w:numFmt w:val="decimal"/>
      <w:lvlText w:val="%1)"/>
      <w:lvlJc w:val="left"/>
      <w:pPr>
        <w:ind w:left="108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203192">
    <w:abstractNumId w:val="6"/>
  </w:num>
  <w:num w:numId="2" w16cid:durableId="838009308">
    <w:abstractNumId w:val="8"/>
  </w:num>
  <w:num w:numId="3" w16cid:durableId="754938559">
    <w:abstractNumId w:val="2"/>
  </w:num>
  <w:num w:numId="4" w16cid:durableId="2055885506">
    <w:abstractNumId w:val="9"/>
  </w:num>
  <w:num w:numId="5" w16cid:durableId="974406605">
    <w:abstractNumId w:val="21"/>
  </w:num>
  <w:num w:numId="6" w16cid:durableId="763185727">
    <w:abstractNumId w:val="14"/>
  </w:num>
  <w:num w:numId="7" w16cid:durableId="2017346138">
    <w:abstractNumId w:val="15"/>
  </w:num>
  <w:num w:numId="8" w16cid:durableId="1725983105">
    <w:abstractNumId w:val="5"/>
  </w:num>
  <w:num w:numId="9" w16cid:durableId="675234775">
    <w:abstractNumId w:val="20"/>
  </w:num>
  <w:num w:numId="10" w16cid:durableId="1207139879">
    <w:abstractNumId w:val="22"/>
  </w:num>
  <w:num w:numId="11" w16cid:durableId="202669935">
    <w:abstractNumId w:val="1"/>
  </w:num>
  <w:num w:numId="12" w16cid:durableId="708922144">
    <w:abstractNumId w:val="13"/>
  </w:num>
  <w:num w:numId="13" w16cid:durableId="759790762">
    <w:abstractNumId w:val="11"/>
  </w:num>
  <w:num w:numId="14" w16cid:durableId="678581256">
    <w:abstractNumId w:val="4"/>
  </w:num>
  <w:num w:numId="15" w16cid:durableId="1601177421">
    <w:abstractNumId w:val="0"/>
  </w:num>
  <w:num w:numId="16" w16cid:durableId="1330597749">
    <w:abstractNumId w:val="3"/>
  </w:num>
  <w:num w:numId="17" w16cid:durableId="496842260">
    <w:abstractNumId w:val="17"/>
  </w:num>
  <w:num w:numId="18" w16cid:durableId="1827548498">
    <w:abstractNumId w:val="10"/>
  </w:num>
  <w:num w:numId="19" w16cid:durableId="2115057431">
    <w:abstractNumId w:val="19"/>
  </w:num>
  <w:num w:numId="20" w16cid:durableId="1567182457">
    <w:abstractNumId w:val="12"/>
  </w:num>
  <w:num w:numId="21" w16cid:durableId="359359525">
    <w:abstractNumId w:val="23"/>
  </w:num>
  <w:num w:numId="22" w16cid:durableId="1663964690">
    <w:abstractNumId w:val="16"/>
  </w:num>
  <w:num w:numId="23" w16cid:durableId="820658112">
    <w:abstractNumId w:val="18"/>
  </w:num>
  <w:num w:numId="24" w16cid:durableId="791440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145DE"/>
    <w:rsid w:val="000837F9"/>
    <w:rsid w:val="0009433A"/>
    <w:rsid w:val="00097CD8"/>
    <w:rsid w:val="000D5EF7"/>
    <w:rsid w:val="000E3E1A"/>
    <w:rsid w:val="000E422D"/>
    <w:rsid w:val="00106058"/>
    <w:rsid w:val="00155A57"/>
    <w:rsid w:val="00173FB7"/>
    <w:rsid w:val="001A5105"/>
    <w:rsid w:val="001C6235"/>
    <w:rsid w:val="001C7274"/>
    <w:rsid w:val="001F2E9A"/>
    <w:rsid w:val="00200D0D"/>
    <w:rsid w:val="0025489B"/>
    <w:rsid w:val="0026225D"/>
    <w:rsid w:val="00287558"/>
    <w:rsid w:val="00292EF8"/>
    <w:rsid w:val="002934FB"/>
    <w:rsid w:val="00297D8B"/>
    <w:rsid w:val="002A3110"/>
    <w:rsid w:val="002D1B36"/>
    <w:rsid w:val="00301C14"/>
    <w:rsid w:val="003656E2"/>
    <w:rsid w:val="00377D60"/>
    <w:rsid w:val="003B4714"/>
    <w:rsid w:val="003C46E5"/>
    <w:rsid w:val="00402615"/>
    <w:rsid w:val="004429C9"/>
    <w:rsid w:val="004658B4"/>
    <w:rsid w:val="00467440"/>
    <w:rsid w:val="004A1C41"/>
    <w:rsid w:val="004A6299"/>
    <w:rsid w:val="004A70EA"/>
    <w:rsid w:val="004C385E"/>
    <w:rsid w:val="004F6B4B"/>
    <w:rsid w:val="00506CC1"/>
    <w:rsid w:val="00514DE7"/>
    <w:rsid w:val="00525993"/>
    <w:rsid w:val="00551EC3"/>
    <w:rsid w:val="0059269E"/>
    <w:rsid w:val="00592AE5"/>
    <w:rsid w:val="005A2492"/>
    <w:rsid w:val="005D3363"/>
    <w:rsid w:val="005D4118"/>
    <w:rsid w:val="005E242D"/>
    <w:rsid w:val="006049C8"/>
    <w:rsid w:val="00666BCD"/>
    <w:rsid w:val="0067386E"/>
    <w:rsid w:val="0068613F"/>
    <w:rsid w:val="006A787E"/>
    <w:rsid w:val="006F38C2"/>
    <w:rsid w:val="007115FE"/>
    <w:rsid w:val="007241DC"/>
    <w:rsid w:val="0079350A"/>
    <w:rsid w:val="007D3640"/>
    <w:rsid w:val="007F3EE5"/>
    <w:rsid w:val="00804991"/>
    <w:rsid w:val="008058EE"/>
    <w:rsid w:val="00805CAB"/>
    <w:rsid w:val="008533D4"/>
    <w:rsid w:val="00853B29"/>
    <w:rsid w:val="008927F9"/>
    <w:rsid w:val="008C28E2"/>
    <w:rsid w:val="008D435F"/>
    <w:rsid w:val="008D54CA"/>
    <w:rsid w:val="008F7DD4"/>
    <w:rsid w:val="0096407A"/>
    <w:rsid w:val="00964C9D"/>
    <w:rsid w:val="00972053"/>
    <w:rsid w:val="009A0028"/>
    <w:rsid w:val="009A5410"/>
    <w:rsid w:val="009C2B14"/>
    <w:rsid w:val="00A04C41"/>
    <w:rsid w:val="00A201C6"/>
    <w:rsid w:val="00A30236"/>
    <w:rsid w:val="00A54AAA"/>
    <w:rsid w:val="00A65C50"/>
    <w:rsid w:val="00A71AF9"/>
    <w:rsid w:val="00A85A1A"/>
    <w:rsid w:val="00A94655"/>
    <w:rsid w:val="00A97B29"/>
    <w:rsid w:val="00AA617B"/>
    <w:rsid w:val="00AC7336"/>
    <w:rsid w:val="00AD3B47"/>
    <w:rsid w:val="00AE49B1"/>
    <w:rsid w:val="00B02E24"/>
    <w:rsid w:val="00B31115"/>
    <w:rsid w:val="00B417FC"/>
    <w:rsid w:val="00B527A5"/>
    <w:rsid w:val="00B80F20"/>
    <w:rsid w:val="00B961D1"/>
    <w:rsid w:val="00BB6254"/>
    <w:rsid w:val="00BC07C5"/>
    <w:rsid w:val="00BD2B4B"/>
    <w:rsid w:val="00BE4AAC"/>
    <w:rsid w:val="00C21E3B"/>
    <w:rsid w:val="00C43743"/>
    <w:rsid w:val="00C545E8"/>
    <w:rsid w:val="00C67E27"/>
    <w:rsid w:val="00C8742D"/>
    <w:rsid w:val="00CA5E9C"/>
    <w:rsid w:val="00CC3DFC"/>
    <w:rsid w:val="00CD2B71"/>
    <w:rsid w:val="00CD729A"/>
    <w:rsid w:val="00D07423"/>
    <w:rsid w:val="00D11EE7"/>
    <w:rsid w:val="00D36318"/>
    <w:rsid w:val="00D55E97"/>
    <w:rsid w:val="00D60456"/>
    <w:rsid w:val="00D62B6B"/>
    <w:rsid w:val="00D92F57"/>
    <w:rsid w:val="00D93AEA"/>
    <w:rsid w:val="00DB282A"/>
    <w:rsid w:val="00DC4799"/>
    <w:rsid w:val="00DE236A"/>
    <w:rsid w:val="00DF36FD"/>
    <w:rsid w:val="00E5797E"/>
    <w:rsid w:val="00E76391"/>
    <w:rsid w:val="00E84DD9"/>
    <w:rsid w:val="00F4021F"/>
    <w:rsid w:val="00F44135"/>
    <w:rsid w:val="00F56E64"/>
    <w:rsid w:val="00FB7B79"/>
    <w:rsid w:val="00FC1D7F"/>
    <w:rsid w:val="00FE6ACB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79</cp:revision>
  <dcterms:created xsi:type="dcterms:W3CDTF">2023-10-09T10:55:00Z</dcterms:created>
  <dcterms:modified xsi:type="dcterms:W3CDTF">2024-01-14T09:20:00Z</dcterms:modified>
</cp:coreProperties>
</file>