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Comptage citoyen : ce qui lui donne une valeur juridique</w:t>
      </w:r>
    </w:p>
    <w:p>
      <w:pPr>
        <w:jc w:val="left"/>
      </w:pPr>
      <w:r>
        <w:t>Pièce du dossier « chien citoyen de Paris ».</w:t>
      </w:r>
    </w:p>
    <w:p>
      <w:r>
        <w:t>Paris, 29 septembre 2026.</w:t>
      </w:r>
    </w:p>
    <w:p>
      <w:r>
        <w:t>Document de travail du 29 septembre 2026. Rien n'a été voté.</w:t>
      </w:r>
    </w:p>
    <w:p>
      <w:pPr>
        <w:pStyle w:val="Heading1"/>
      </w:pPr>
      <w:r>
        <w:t>Note juridique — ce qui donne une valeur juridique au comptage citoyen</w:t>
      </w:r>
    </w:p>
    <w:p>
      <w:pPr>
        <w:pStyle w:val="Heading2"/>
      </w:pPr>
      <w:r>
        <w:t>Sommaire</w:t>
      </w:r>
    </w:p>
    <w:p>
      <w:pPr>
        <w:pStyle w:val="ListBullet"/>
      </w:pPr>
      <w:r>
        <w:rPr>
          <w:b w:val="0"/>
        </w:rPr>
        <w:t>1. Ce que le juge a réellement reproché à Béziers</w:t>
      </w:r>
    </w:p>
    <w:p>
      <w:pPr>
        <w:pStyle w:val="ListBullet"/>
      </w:pPr>
      <w:r>
        <w:rPr>
          <w:b w:val="0"/>
        </w:rPr>
        <w:t>2. Les trois piliers d'un relevé qui tient</w:t>
      </w:r>
    </w:p>
    <w:p>
      <w:pPr>
        <w:pStyle w:val="ListBullet"/>
      </w:pPr>
      <w:r>
        <w:rPr>
          <w:b w:val="0"/>
        </w:rPr>
        <w:t>3. Le piège à ne pas recréer : les données personnelles</w:t>
      </w:r>
    </w:p>
    <w:p>
      <w:pPr>
        <w:pStyle w:val="ListBullet"/>
      </w:pPr>
      <w:r>
        <w:rPr>
          <w:b w:val="0"/>
        </w:rPr>
        <w:t>4. Ce qu'un comptage citoyen ne peut pas faire</w:t>
      </w:r>
    </w:p>
    <w:p>
      <w:pPr>
        <w:pStyle w:val="ListBullet"/>
      </w:pPr>
      <w:r>
        <w:rPr>
          <w:b w:val="0"/>
        </w:rPr>
        <w:t>5. Les trois niveaux d'escalade</w:t>
      </w:r>
    </w:p>
    <w:p>
      <w:pPr>
        <w:pStyle w:val="ListBullet"/>
      </w:pPr>
      <w:r>
        <w:rPr>
          <w:b w:val="0"/>
        </w:rPr>
        <w:t>6. Ce que le comptage ne suffira pas à fermer</w:t>
      </w:r>
    </w:p>
    <w:p>
      <w:pPr>
        <w:pStyle w:val="ListBullet"/>
      </w:pPr>
      <w:r>
        <w:rPr>
          <w:b w:val="0"/>
        </w:rPr>
        <w:t>Sources</w:t>
      </w:r>
    </w:p>
    <w:p>
      <w:r>
        <w:t>29 septembre 2026. Question posée : suffit-il d'une photo géodatée stockée sur un serveur, ou faut-il un protocole ? Réponse courte : non, une photo sur un serveur ne prouve rien — ce qui prouve, c'est la manière dont le relevé est préconstitué, contradictoire et daté. Détail ci-dessous. Rien n'a été voté.</w:t>
      </w:r>
    </w:p>
    <w:p>
      <w:pPr>
        <w:pStyle w:val="Heading2"/>
      </w:pPr>
      <w:r>
        <w:t>1. Ce que le juge a réellement reproché à Béziers</w:t>
      </w:r>
    </w:p>
    <w:p>
      <w:r>
        <w:t>C'est le point de départ, et il fixe tout le reste. Le tribunal administratif de Montpellier annule l'arrêté du 12 mai 2023 par jugement du 6 mai 2025, sur trois motifs, dans cet ordre :</w:t>
      </w:r>
    </w:p>
    <w:p>
      <w:pPr>
        <w:pStyle w:val="ListNumber"/>
      </w:pPr>
      <w:r>
        <w:rPr>
          <w:b/>
        </w:rPr>
        <w:t>L'atteinte n'est pas démontrée.</w:t>
      </w:r>
      <w:r>
        <w:t xml:space="preserve"> « Aucune pièce du dossier ne permet de corroborer les éléments indiqués dans l'exposé des motifs de l'arrêté, notamment l'atteinte qui serait portée à la sécurité et à la salubrité publique par le nombre de déjections canines ramassées au cours des années 2020, 2021, 2022. »</w:t>
      </w:r>
    </w:p>
    <w:p>
      <w:pPr>
        <w:pStyle w:val="ListNumber"/>
      </w:pPr>
      <w:r>
        <w:rPr>
          <w:b/>
        </w:rPr>
        <w:t>L'inefficacité des mesures déjà prises n'est pas démontrée</w:t>
      </w:r>
      <w:r>
        <w:t xml:space="preserve"> — la mairie n'a pas non plus établi que ce qu'elle faisait déjà ne suffisait pas.</w:t>
      </w:r>
    </w:p>
    <w:p>
      <w:pPr>
        <w:pStyle w:val="ListNumber"/>
      </w:pPr>
      <w:r>
        <w:rPr>
          <w:b/>
        </w:rPr>
        <w:t>La mesure n'est « ni nécessaire, ni adaptée, ni proportionnée »</w:t>
      </w:r>
      <w:r>
        <w:t>, et l'identification classique (tatouage ou marquage, obligatoire au titre de l'article L. 212-10 du code rural) n'est pas démontrée insuffisante.</w:t>
      </w:r>
    </w:p>
    <w:p>
      <w:r>
        <w:t xml:space="preserve">Conséquence pour un comptage : </w:t>
      </w:r>
      <w:r>
        <w:rPr>
          <w:b/>
        </w:rPr>
        <w:t>ce n'est pas un relevé, c'est un dossier de preuve</w:t>
      </w:r>
      <w:r>
        <w:t xml:space="preserve">, et il doit répondre à ces trois points. Le premier exige un </w:t>
      </w:r>
      <w:r>
        <w:rPr>
          <w:b/>
        </w:rPr>
        <w:t>volume daté sur plusieurs périodes</w:t>
      </w:r>
      <w:r>
        <w:t xml:space="preserve"> — le juge compare 2020, 2021, 2022, il ne compare pas une semaine à une autre. Un comptage unique ne ferme aucun de ces trous.</w:t>
      </w:r>
    </w:p>
    <w:p>
      <w:pPr>
        <w:pStyle w:val="Heading2"/>
      </w:pPr>
      <w:r>
        <w:t>2. Les trois piliers d'un relevé qui tient</w:t>
      </w:r>
    </w:p>
    <w:p>
      <w:r>
        <w:t>Un comptage citoyen est une preuve par témoins et par écrits : le juge administratif apprécie librement les moyens de preuve, mais il apprécie la crédibilité de leur fabrication. Trois mots comptent plus que la photo.</w:t>
      </w:r>
    </w:p>
    <w:p>
      <w:r>
        <w:rPr>
          <w:b/>
        </w:rPr>
        <w:t>a. Préconstitué.</w:t>
      </w:r>
      <w:r>
        <w:t xml:space="preserve"> Le protocole — tronçons, créneaux, règle de comptage, dates de début et de fin — est publié avant le premier passage, et ne bouge plus. Un protocole connu après coup est réputé arrangé ; un protocole publié d'avance est opposable. C'est la même logique que le préenregistrement d'un essai clinique, et c'est ce qui distingue un relevé d'un argument.</w:t>
      </w:r>
    </w:p>
    <w:p>
      <w:r>
        <w:rPr>
          <w:b/>
        </w:rPr>
        <w:t>b. Contradictoire.</w:t>
      </w:r>
      <w:r>
        <w:t xml:space="preserve"> Deux observateurs distincts par passage, dont un qui n'est pas partie prenante. Et surtout : la partie adverse est </w:t>
      </w:r>
      <w:r>
        <w:rPr>
          <w:b/>
        </w:rPr>
        <w:t>informée par écrit et invitée</w:t>
      </w:r>
      <w:r>
        <w:t xml:space="preserve"> — courrier à la mairie, à la mairie d'arrondissement et au préfet, avec le protocole, les dates et l'invitation à désigner un observateur. Si elle ne vient pas, la preuve de l'invitation reste au dossier : c'est exactement ce qui prive l'autre partie du droit de contester la méthode. Sans cette pièce, tout relevé est « unilatéral ».</w:t>
      </w:r>
    </w:p>
    <w:p>
      <w:r>
        <w:rPr>
          <w:b/>
        </w:rPr>
        <w:t>c. Daté et intègre.</w:t>
      </w:r>
      <w:r>
        <w:t xml:space="preserve"> C'est ici que le serveur lambda ne suffit pas. Un fichier photo, une date EXIF et un stockage quelconque ne prouvent ni la date ni la non-modification : les métadonnées se réécrivent en deux clics, et personne ne peut affirmer que le fichier conservé est celui qui a été pris. Ce qu'il faut, et ce qui est vérifiable par un tiers :</w:t>
      </w:r>
    </w:p>
    <w:p>
      <w:pPr>
        <w:pStyle w:val="ListBullet"/>
      </w:pPr>
      <w:r>
        <w:t xml:space="preserve">une </w:t>
      </w:r>
      <w:r>
        <w:rPr>
          <w:b/>
        </w:rPr>
        <w:t>fiche de relevé</w:t>
      </w:r>
      <w:r>
        <w:t xml:space="preserve"> identique à chaque passage : tronçon, heure, nombre, position, conditions (météo, balayeuse, marché, vacances, travaux), nom des deux observateurs, photo ;</w:t>
      </w:r>
    </w:p>
    <w:p>
      <w:pPr>
        <w:pStyle w:val="ListBullet"/>
      </w:pPr>
      <w:r>
        <w:t xml:space="preserve">une </w:t>
      </w:r>
      <w:r>
        <w:rPr>
          <w:b/>
        </w:rPr>
        <w:t>empreinte SHA-256 de chaque fiche et de chaque photo</w:t>
      </w:r>
      <w:r>
        <w:t>, imprimée dans le tableau publié ;</w:t>
      </w:r>
    </w:p>
    <w:p>
      <w:pPr>
        <w:pStyle w:val="ListBullet"/>
      </w:pPr>
      <w:r>
        <w:t xml:space="preserve">un </w:t>
      </w:r>
      <w:r>
        <w:rPr>
          <w:b/>
        </w:rPr>
        <w:t>horodatage électronique</w:t>
      </w:r>
      <w:r>
        <w:t xml:space="preserve"> de ces empreintes, chaque semaine. Un horodatage </w:t>
      </w:r>
      <w:r>
        <w:rPr>
          <w:b/>
        </w:rPr>
        <w:t>qualifié</w:t>
      </w:r>
      <w:r>
        <w:t xml:space="preserve"> (règlement eIDAS n° 910/2014, art. 41 § 2 et 42, prestataire de services de confiance qualifié, protocole RFC 3161) bénéficie d'une </w:t>
      </w:r>
      <w:r>
        <w:rPr>
          <w:b/>
        </w:rPr>
        <w:t>présomption d'exactitude de la date et d'intégrité des données</w:t>
      </w:r>
      <w:r>
        <w:t xml:space="preserve"> : c'est à celui qui conteste de démontrer la fausseté. Un horodatage simple reste recevable mais n'emporte aucune présomption, et l'ancrage en chaîne de blocs, pratique et gratuit, reste apprécié librement par le juge — utile parce que n'importe qui peut le vérifier, mais ce n'est pas un service de confiance qualifié.</w:t>
      </w:r>
    </w:p>
    <w:p>
      <w:pPr>
        <w:pStyle w:val="ListBullet"/>
      </w:pPr>
      <w:r>
        <w:t xml:space="preserve">la </w:t>
      </w:r>
      <w:r>
        <w:rPr>
          <w:b/>
        </w:rPr>
        <w:t>publication des données brutes</w:t>
      </w:r>
      <w:r>
        <w:t xml:space="preserve"> (fiches, photos, tableaux) : une preuve que l'adversaire peut refaire est une preuve qu'il ne peut pas écarter.</w:t>
      </w:r>
    </w:p>
    <w:p>
      <w:pPr>
        <w:pStyle w:val="Heading2"/>
      </w:pPr>
      <w:r>
        <w:t>3. Le piège à ne pas recréer : les données personnelles</w:t>
      </w:r>
    </w:p>
    <w:p>
      <w:r>
        <w:t>Le dispositif est attaqué sur le fichage des propriétaires ; un comptage citoyen qui photographie la rue en grand angle et conserve des plaques d'immatriculation reconstitue l'argument de l'adversaire. Donc : cadrage serré sur la déjection, pas de visage ni de plaque, aucun fichier de personnes, aucune géolocalisation d'individus, une finalité écrite et une durée de conservation annoncée. Le registre du comptage enregistre des tronçons et des nombres, pas des gens.</w:t>
      </w:r>
    </w:p>
    <w:p>
      <w:pPr>
        <w:pStyle w:val="Heading2"/>
      </w:pPr>
      <w:r>
        <w:t>4. Ce qu'un comptage citoyen ne peut pas faire</w:t>
      </w:r>
    </w:p>
    <w:p>
      <w:r>
        <w:t xml:space="preserve">Il ne permet pas de verbaliser. La contravention est prouvée par procès-verbal ou rapport d'un agent habilité, et, pour les contraventions, l'article 537 du code de procédure pénale prévoit que ces rapports « font foi jusqu'à preuve contraire » et que la preuve contraire ne peut être rapportée que par écrit ou par témoins. Le comptage citoyen sert à </w:t>
      </w:r>
      <w:r>
        <w:rPr>
          <w:b/>
        </w:rPr>
        <w:t>justifier la mesure devant le juge administratif</w:t>
      </w:r>
      <w:r>
        <w:t>, pas à constater l'infraction. Les deux chaînes sont distinctes et ne doivent pas être mélangées dans le discours public — c'est le mélange qui fait dire « ils veulent nous ficher ».</w:t>
      </w:r>
    </w:p>
    <w:p>
      <w:pPr>
        <w:pStyle w:val="Heading2"/>
      </w:pPr>
      <w:r>
        <w:t>5. Les trois niveaux d'escalade</w:t>
      </w:r>
    </w:p>
    <w:p>
      <w:pPr>
        <w:pStyle w:val="ListNumber"/>
      </w:pPr>
      <w:r>
        <w:rPr>
          <w:b/>
        </w:rPr>
        <w:t>Comptage citoyen avec protocole publié et horodaté</w:t>
      </w:r>
      <w:r>
        <w:t xml:space="preserve"> (coût : du temps). Suffisant pour un conseil d'arrondissement, un budget participatif et un premier article de presse.</w:t>
      </w:r>
    </w:p>
    <w:p>
      <w:pPr>
        <w:pStyle w:val="ListNumber"/>
      </w:pPr>
      <w:r>
        <w:rPr>
          <w:b/>
        </w:rPr>
        <w:t>Convention avec la mairie ou la mairie d'arrondissement</w:t>
      </w:r>
      <w:r>
        <w:t>, les agents relayant le comptage : le relevé change de nature et devient un document administratif.</w:t>
      </w:r>
    </w:p>
    <w:p>
      <w:pPr>
        <w:pStyle w:val="ListNumber"/>
      </w:pPr>
      <w:r>
        <w:rPr>
          <w:b/>
        </w:rPr>
        <w:t>Constat de commissaire de justice</w:t>
      </w:r>
      <w:r>
        <w:t>, contradictoire, sur un échantillon de passages seulement : c'est l'acte le plus difficile à contester, et il coûte cher — d'où l'intérêt de le réserver à la démonstration finale, une fois le protocole rodé et les chiffres stabilisés.</w:t>
      </w:r>
    </w:p>
    <w:p>
      <w:r>
        <w:t xml:space="preserve">À faire en parallèle, et gratuitement : </w:t>
      </w:r>
      <w:r>
        <w:rPr>
          <w:b/>
        </w:rPr>
        <w:t>demander les pièces de l'administration</w:t>
      </w:r>
      <w:r>
        <w:t xml:space="preserve"> (extractions DansMaRue sur le secteur, statistiques de propreté, marché de nettoiement, bilan des campagnes précédentes). Ce sont des documents administratifs communicables ; ils donnent la base officielle que le juge réclamait à Béziers, et ils obligent la Ville à prendre position par écrit.</w:t>
      </w:r>
    </w:p>
    <w:p>
      <w:pPr>
        <w:pStyle w:val="Heading2"/>
      </w:pPr>
      <w:r>
        <w:t>6. Ce que le comptage ne suffira pas à fermer</w:t>
      </w:r>
    </w:p>
    <w:p>
      <w:r>
        <w:t>Le motif n° 3 de Béziers — l'identification classique est-elle suffisante ? — ne se règle pas en comptant. Il se règle par un raisonnement : un tatouage ou un fichier I-CAD identifie un chien, mais ne relie pas une déjection à son propriétaire, faute de quoi aucune attribution n'est possible. C'est un argument juridique autonome, à écrire séparément, et la proportionnalité (périmètre réduit, durée bornée, gratuité de l'identification, alternatives) reste à démontrer — le juge administratif contrôle les trois, pas seulement l'utilité.</w:t>
      </w:r>
    </w:p>
    <w:p>
      <w:pPr>
        <w:pStyle w:val="Heading2"/>
      </w:pPr>
      <w:r>
        <w:t>Sources</w:t>
      </w:r>
    </w:p>
    <w:p>
      <w:pPr>
        <w:pStyle w:val="ListBullet"/>
      </w:pPr>
      <w:r>
        <w:t>LDH, « Béziers : l'identification génétique des chiens » (citations du jugement du 6 mai 2025, TA Montpellier) : https://www.ldh-france.org/beziers-lidentification-genetique-des-chiens/</w:t>
      </w:r>
    </w:p>
    <w:p>
      <w:pPr>
        <w:pStyle w:val="ListBullet"/>
      </w:pPr>
      <w:r>
        <w:t>Article 537 du code de procédure pénale (force probante des procès-verbaux et rapports en matière contraventionnelle ; texte à lire dans le code, partie législative, livre II, titre III) : https://www.legifrance.gouv.fr/codes/texte_lc/LEGITEXT000006071154/</w:t>
      </w:r>
    </w:p>
    <w:p>
      <w:pPr>
        <w:pStyle w:val="ListBullet"/>
      </w:pPr>
      <w:r>
        <w:t>Sénat, question écrite rappelant le régime de l'article 537 (rapports faisant foi jusqu'à preuve contraire, preuve contraire par écrit ou témoins) : https://www.senat.fr/questions/base/2007/qSEQ070801568.html</w:t>
      </w:r>
    </w:p>
    <w:p>
      <w:pPr>
        <w:pStyle w:val="ListBullet"/>
      </w:pPr>
      <w:r>
        <w:t>ANSSI, les services de confiance (horodatage électronique qualifié, eIDAS) : https://cyber.gouv.fr/reglementation/reglementation-identite-confiance-numerique/securite-echanges-voie-electronique/reglement-eidas/services-de-confiance/</w:t>
      </w:r>
    </w:p>
    <w:p>
      <w:pPr>
        <w:pStyle w:val="ListBullet"/>
      </w:pPr>
      <w:r>
        <w:t>Règlement (UE) n° 910/2014 (eIDAS), art. 41 et 42 ; articles 1366 et 1367 du code civil.</w:t>
      </w:r>
    </w:p>
    <w:p>
      <w:pPr>
        <w:pStyle w:val="ListBullet"/>
      </w:pPr>
      <w:r>
        <w:t>Le comptage national des oiseaux des jardins (LPO et Muséum national d'histoire naturelle) comme modèle de comptage citoyen : voir l'annexe C du rapport complet.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