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pour un élu</w:t>
      </w:r>
    </w:p>
    <w:p>
      <w:pPr>
        <w:jc w:val="left"/>
      </w:pPr>
      <w:r>
        <w:t>Pièce du dossier « chien citoyen de Paris ».</w:t>
      </w:r>
    </w:p>
    <w:p>
      <w:r>
        <w:t>Paris, 29 septembre 2026.</w:t>
      </w:r>
    </w:p>
    <w:p>
      <w:r>
        <w:t>Document de travail du 29 septembre 2026. Rien n'a été voté.</w:t>
      </w:r>
    </w:p>
    <w:p>
      <w:pPr>
        <w:pStyle w:val="Heading1"/>
      </w:pPr>
      <w:r>
        <w:t>Note pour un élu — une page</w:t>
      </w:r>
    </w:p>
    <w:p>
      <w:pPr>
        <w:pStyle w:val="Heading2"/>
      </w:pPr>
      <w:r>
        <w:t>Sommaire</w:t>
      </w:r>
    </w:p>
    <w:p>
      <w:pPr>
        <w:pStyle w:val="ListBullet"/>
      </w:pPr>
      <w:r>
        <w:rPr>
          <w:b w:val="0"/>
        </w:rPr>
        <w:t>Le constat, en quatre lignes</w:t>
      </w:r>
    </w:p>
    <w:p>
      <w:pPr>
        <w:pStyle w:val="ListBullet"/>
      </w:pPr>
      <w:r>
        <w:rPr>
          <w:b w:val="0"/>
        </w:rPr>
        <w:t>Ce que la loi vous permet, et que personne n'a utilisé</w:t>
      </w:r>
    </w:p>
    <w:p>
      <w:pPr>
        <w:pStyle w:val="ListBullet"/>
      </w:pPr>
      <w:r>
        <w:rPr>
          <w:b w:val="0"/>
        </w:rPr>
        <w:t>Ce qui a déjà été fait ailleurs</w:t>
      </w:r>
    </w:p>
    <w:p>
      <w:pPr>
        <w:pStyle w:val="ListBullet"/>
      </w:pPr>
      <w:r>
        <w:rPr>
          <w:b w:val="0"/>
        </w:rPr>
        <w:t>La conséquence pratique, et c'est la seule chose qui compte</w:t>
      </w:r>
    </w:p>
    <w:p>
      <w:pPr>
        <w:pStyle w:val="ListBullet"/>
      </w:pPr>
      <w:r>
        <w:rPr>
          <w:b w:val="0"/>
        </w:rPr>
        <w:t>Ce que je vous demande</w:t>
      </w:r>
    </w:p>
    <w:p>
      <w:pPr>
        <w:pStyle w:val="ListBullet"/>
      </w:pPr>
      <w:r>
        <w:rPr>
          <w:b w:val="0"/>
        </w:rPr>
        <w:t>Ce que ça coûte, et qui paie</w:t>
      </w:r>
    </w:p>
    <w:p>
      <w:pPr>
        <w:pStyle w:val="ListBullet"/>
      </w:pPr>
      <w:r>
        <w:rPr>
          <w:b w:val="0"/>
        </w:rPr>
        <w:t>L'enjeu politique, dit sans détour</w:t>
      </w:r>
    </w:p>
    <w:p>
      <w:pPr>
        <w:pStyle w:val="ListBullet"/>
      </w:pPr>
      <w:r>
        <w:rPr>
          <w:b w:val="0"/>
        </w:rPr>
        <w:t>Les objections, et les réponses</w:t>
      </w:r>
    </w:p>
    <w:p>
      <w:pPr>
        <w:pStyle w:val="ListBullet"/>
      </w:pPr>
      <w:r>
        <w:rPr>
          <w:b w:val="0"/>
        </w:rPr>
        <w:t>La décision qui vous revient</w:t>
      </w:r>
    </w:p>
    <w:p>
      <w:r>
        <w:t>Objet : rendre la propreté canine mesurable et financer les droits des propriétaires de chiens sans argent public supplémentaire.</w:t>
      </w:r>
    </w:p>
    <w:p>
      <w:pPr>
        <w:pStyle w:val="Heading2"/>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2"/>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2"/>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2"/>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2"/>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2"/>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2"/>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2"/>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2"/>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Tout est dans /root/chiens-paris/, et chaque chiffre de cette note a été vérifié sur source, avec les URL, dans AUDIT-SOURCES.md.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