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Comptage citoyen : ce qui lui donne une valeur juridique</w:t>
      </w:r>
    </w:p>
    <w:p>
      <w:pPr>
        <w:jc w:val="left"/>
      </w:pPr>
      <w:r>
        <w:t>Pièce du dossier « chien citoyen de Paris ».</w:t>
      </w:r>
    </w:p>
    <w:p>
      <w:r>
        <w:t>Paris, 29 septembre 2026.</w:t>
      </w:r>
    </w:p>
    <w:p>
      <w:r>
        <w:t>Document de travail du 29 septembre 2026. Rien n'a été voté.</w:t>
      </w:r>
    </w:p>
    <w:p>
      <w:pPr>
        <w:pStyle w:val="Heading1"/>
      </w:pPr>
      <w:r>
        <w:t>Note juridique — ce qui donne une valeur juridique au comptage citoyen</w:t>
      </w:r>
    </w:p>
    <w:p>
      <w:pPr>
        <w:pStyle w:val="Heading2"/>
      </w:pPr>
      <w:r>
        <w:t>Sommaire</w:t>
      </w:r>
    </w:p>
    <w:p>
      <w:pPr>
        <w:pStyle w:val="ListBullet"/>
      </w:pPr>
      <w:r>
        <w:rPr>
          <w:b w:val="0"/>
        </w:rPr>
        <w:t>1. Ce que le juge a réellement reproché à Béziers</w:t>
      </w:r>
    </w:p>
    <w:p>
      <w:pPr>
        <w:pStyle w:val="ListBullet"/>
      </w:pPr>
      <w:r>
        <w:rPr>
          <w:b w:val="0"/>
        </w:rPr>
        <w:t>2. Les trois piliers d'un relevé qui tient</w:t>
      </w:r>
    </w:p>
    <w:p>
      <w:pPr>
        <w:pStyle w:val="ListBullet"/>
      </w:pPr>
      <w:r>
        <w:rPr>
          <w:b w:val="0"/>
        </w:rPr>
        <w:t>3. Le piège à ne pas recréer : les données personnelles</w:t>
      </w:r>
    </w:p>
    <w:p>
      <w:pPr>
        <w:pStyle w:val="ListBullet"/>
      </w:pPr>
      <w:r>
        <w:rPr>
          <w:b w:val="0"/>
        </w:rPr>
        <w:t>4. Ce qu'un comptage citoyen ne peut pas faire</w:t>
      </w:r>
    </w:p>
    <w:p>
      <w:pPr>
        <w:pStyle w:val="ListBullet"/>
      </w:pPr>
      <w:r>
        <w:rPr>
          <w:b w:val="0"/>
        </w:rPr>
        <w:t>5. Les trois niveaux d'escalade</w:t>
      </w:r>
    </w:p>
    <w:p>
      <w:pPr>
        <w:pStyle w:val="ListBullet"/>
      </w:pPr>
      <w:r>
        <w:rPr>
          <w:b w:val="0"/>
        </w:rPr>
        <w:t>6. Ce que le comptage ne suffira pas à fermer</w:t>
      </w:r>
    </w:p>
    <w:p>
      <w:pPr>
        <w:pStyle w:val="ListBullet"/>
      </w:pPr>
      <w:r>
        <w:rPr>
          <w:b w:val="0"/>
        </w:rPr>
        <w:t>Sources</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2"/>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2"/>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2"/>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2"/>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2"/>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2"/>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2"/>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