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 d'arrêté et règlement du statut</w:t>
      </w:r>
    </w:p>
    <w:p>
      <w:pPr>
        <w:jc w:val="left"/>
      </w:pPr>
      <w:r>
        <w:t>Pièce du dossier « chien citoyen de Paris ».</w:t>
      </w:r>
    </w:p>
    <w:p>
      <w:r>
        <w:t>Paris, 29 septembre 2026.</w:t>
      </w:r>
    </w:p>
    <w:p>
      <w:r>
        <w:t>Document de travail du 29 septembre 2026. Rien n'a été voté.</w:t>
      </w:r>
    </w:p>
    <w:p>
      <w:pPr>
        <w:pStyle w:val="Heading1"/>
      </w:pPr>
      <w:r>
        <w:t>Statut « chien·ne citoyen·ne de Paris » — projet d'arrêté et règlement (version de travail, 29/09/2026)</w:t>
      </w:r>
    </w:p>
    <w:p>
      <w:pPr>
        <w:pStyle w:val="Heading2"/>
      </w:pPr>
      <w:r>
        <w:t>Sommaire</w:t>
      </w:r>
    </w:p>
    <w:p>
      <w:pPr>
        <w:pStyle w:val="ListBullet"/>
      </w:pPr>
      <w:r>
        <w:rPr>
          <w:b w:val="0"/>
        </w:rPr>
        <w:t>A. Projet d'arrêté (expérimentation de 24 mois)</w:t>
      </w:r>
    </w:p>
    <w:p>
      <w:pPr>
        <w:pStyle w:val="ListBullet"/>
      </w:pPr>
      <w:r>
        <w:rPr>
          <w:b w:val="0"/>
        </w:rPr>
        <w:t>B. Règlement du statut</w:t>
      </w:r>
    </w:p>
    <w:p>
      <w:pPr>
        <w:pStyle w:val="ListBullet"/>
      </w:pPr>
      <w:r>
        <w:rPr>
          <w:b w:val="0"/>
        </w:rPr>
        <w:t>C. Le parcours propriétaire, en cinq étapes (le point qui décide du taux d'adhésion)</w:t>
      </w:r>
    </w:p>
    <w:p>
      <w:pPr>
        <w:pStyle w:val="ListBullet"/>
      </w:pPr>
      <w:r>
        <w:rPr>
          <w:b w:val="0"/>
        </w:rPr>
        <w:t>D. Maquette de données (à valider par le DPO de la Ville)</w:t>
      </w:r>
    </w:p>
    <w:p>
      <w:r>
        <w:t>Document de travail destiné à être montré à un élu, à une mairie d'arrondissement ou à PARC.C.</w:t>
      </w:r>
    </w:p>
    <w:p>
      <w:pPr>
        <w:pStyle w:val="IntenseQuote"/>
      </w:pPr>
      <w:r>
        <w:t>Rien ici n'est un conseil juridique : les points marqués [A VÉRIFIER] doivent être validés par la direction des affaires juridiques de la Ville.</w:t>
      </w:r>
    </w:p>
    <w:p>
      <w:pPr>
        <w:pStyle w:val="Heading2"/>
      </w:pPr>
      <w:r>
        <w:t>A. Projet d'arrêté (expérimentation de 24 mois)</w:t>
      </w:r>
    </w:p>
    <w:p>
      <w:r>
        <w:t>ARRÊTÉ portant expérimentation de l'identification génétique des chiens dans un périmètre défini de la voie publique et création du statut « chien·ne citoyen·ne de Paris »</w:t>
      </w:r>
    </w:p>
    <w:p>
      <w:r>
        <w:t>Le maire de Paris,</w:t>
      </w:r>
    </w:p>
    <w:p>
      <w:r>
        <w:t>Vu le code général des collectivités territoriales, notamment son article L. 2512-13 (II, 1°) qui charge le maire de Paris de la police municipale en matière de salubrité sur la voie publique, et son article L. 2512-16-1 ;</w:t>
      </w:r>
    </w:p>
    <w:p>
      <w:r>
        <w:t>Vu le code rural et de la pêche maritime, notamment ses articles L. 212-2 et L. 212-10 ;</w:t>
      </w:r>
    </w:p>
    <w:p>
      <w:r>
        <w:t>Vu le code pénal, notamment les contraventions de 2e classe réprimant les atteintes à la salubrité publique ;</w:t>
      </w:r>
    </w:p>
    <w:p>
      <w:r>
        <w:t>Vu la loi n° 78-17 du 6 janvier 1978 et le règlement (UE) 2016/679 (RGPD) ;</w:t>
      </w:r>
    </w:p>
    <w:p>
      <w:r>
        <w:t>Vu le rapport de comptage des déjections canines réalisé par la direction de la propreté et de l'eau du [date] au [date] sur le périmètre défini à l'article 2, dont il résulte [n] déjections relevées et [n] signalements DansMaRue ;</w:t>
      </w:r>
    </w:p>
    <w:p>
      <w:r>
        <w:t>Vu l'avis de la CNIL / l'analyse d'impact relative à la protection des données réalisée le [date] [A VÉRIFIER] ;</w:t>
      </w:r>
    </w:p>
    <w:p>
      <w:r>
        <w:t>Vu l'avis du conseil d'arrondissement du [n]e arrondissement en date du [date] ;</w:t>
      </w:r>
    </w:p>
    <w:p>
      <w:r>
        <w:t>Considérant que l'identification par puce électronique ou tatouage, seule obligatoire en vertu de l'article L. 212-10 du code rural et de la pêche maritime, ne permet pas de rattacher une déjection canine abandonnée sur la voie publique à un animal déterminé, aucune lecture à distance n'étant possible, et que la constatation en flagrant délit est en pratique impossible ;</w:t>
      </w:r>
    </w:p>
    <w:p>
      <w:r>
        <w:t>Considérant que l'atteinte à la salubrité publique est établie par les comptages visés ci-dessus ;</w:t>
      </w:r>
    </w:p>
    <w:p>
      <w:r>
        <w:t>ARRÊTE</w:t>
      </w:r>
    </w:p>
    <w:p>
      <w:r>
        <w:t>Article 1er — Objet. Il est institué, à titre expérimental et pour une durée de vingt-quatre mois à compter du [date], un dispositif d'identification génétique des chiens et un statut « chien·ne citoyen·ne de Paris ».</w:t>
      </w:r>
    </w:p>
    <w:p>
      <w:r>
        <w:t>Article 2 — Périmètre. Le périmètre d'expérimentation est délimité par [liste des voies ou renvoi au plan annexé]. Il est signalé par panneaux aux entrées et sorties de zone. Les parcs, jardins et espaces verts n'y sont pas inclus.</w:t>
      </w:r>
    </w:p>
    <w:p>
      <w:r>
        <w:t>Article 3 — Obligation d'identification génétique. Toute personne promenant un chien dans le périmètre doit être en mesure de justifier de son identification génétique.</w:t>
      </w:r>
    </w:p>
    <w:p>
      <w:r>
        <w:t>L'identification est gratuite pour le propriétaire : kits disponibles en mairie, journées d'identification organisées par la Ville, prélèvement réalisé par un vétérinaire participant.</w:t>
      </w:r>
    </w:p>
    <w:p>
      <w:r>
        <w:t>Une attestation provisoire est délivrée sur place, valable en cas de contrôle.</w:t>
      </w:r>
    </w:p>
    <w:p>
      <w:r>
        <w:t>Article 4 — Contrôles. Les contrôles sont effectués par les agents habilités.</w:t>
      </w:r>
    </w:p>
    <w:p>
      <w:r>
        <w:t>En cas d'absence de justificatif, un délai de soixante-douze heures est laissé à l'intéressé pour le présenter.</w:t>
      </w:r>
    </w:p>
    <w:p>
      <w:r>
        <w:t>Article 5 — Sanctions. Le défaut de justification dans le délai de soixante-douze heures est passible de l'amende prévue pour les contraventions de 2e classe.</w:t>
      </w:r>
    </w:p>
    <w:p>
      <w:r>
        <w:t>Le non-ramassage d'une déjection identifiée génétiquement donne lieu à la contravention applicable, majorée des frais de prélèvement et d'analyse ainsi que des frais de nettoiement, dans la limite prévue par les textes.</w:t>
      </w:r>
    </w:p>
    <w:p>
      <w:r>
        <w:t>Article 6 — Pédagogie et visiteurs. Les personnes ne résidant pas à Paris et promenant occasionnellement un chien dans le périmètre font l'objet d'une information sans sanction.</w:t>
      </w:r>
    </w:p>
    <w:p>
      <w:r>
        <w:t>Article 7 — Statut « chien·ne citoyen·ne de Paris ». Les conditions, droits et obligations attachés au statut sont fixés par le règlement annexé au présent arrêté.</w:t>
      </w:r>
    </w:p>
    <w:p>
      <w:r>
        <w:t>Article 8 — Données personnelles. La base de données génétiques est constituée et conservée par le laboratoire titulaire du marché.</w:t>
      </w:r>
    </w:p>
    <w:p>
      <w:r>
        <w:t>La Ville ne dispose que des informations de correspondance entre un prélèvement et un propriétaire, pour la seule durée de l'expérimentation.</w:t>
      </w:r>
    </w:p>
    <w:p>
      <w:r>
        <w:t>Les modalités de conservation, d'accès et d'effacement sont décrites dans l'analyse d'impact.</w:t>
      </w:r>
    </w:p>
    <w:p>
      <w:r>
        <w:t>Article 9 — Évaluation. Un rapport d'évaluation est présenté au conseil de Paris et publié dans les six mois suivant le premier anniversaire de l'entrée en vigueur du présent arrêté.</w:t>
      </w:r>
    </w:p>
    <w:p>
      <w:r>
        <w:t>Toute extension du périmètre est subordonnée à ce rapport.</w:t>
      </w:r>
    </w:p>
    <w:p>
      <w:r>
        <w:t>Article 10 — Exécution. Le présent arrêté est transmis au représentant de l'État et affiché.</w:t>
      </w:r>
    </w:p>
    <w:p>
      <w:r>
        <w:t>Il peut faire l'objet d'un recours devant le tribunal administratif de Paris dans un délai de deux mois.</w:t>
      </w:r>
    </w:p>
    <w:p>
      <w:pPr>
        <w:pStyle w:val="Heading2"/>
      </w:pPr>
      <w:r>
        <w:t>B. Règlement du statut</w:t>
      </w:r>
    </w:p>
    <w:p>
      <w:r>
        <w:t>Article 1 — Conditions d'accès (cumulatives)</w:t>
      </w:r>
    </w:p>
    <w:p>
      <w:r>
        <w:t>a) chien identifié par puce électronique ou tatouage, enregistré au fichier national I-CAD ;</w:t>
      </w:r>
    </w:p>
    <w:p>
      <w:r>
        <w:t>b) identification génétique réalisée et enregistrée ;</w:t>
      </w:r>
    </w:p>
    <w:p>
      <w:r>
        <w:t>c) propriétaire ou détenteur domicilié à Paris (vérifié via l'adresse I-CAD) ;</w:t>
      </w:r>
    </w:p>
    <w:p>
      <w:r>
        <w:t>d) vaccinations à jour et attestation de bonne santé ;</w:t>
      </w:r>
    </w:p>
    <w:p>
      <w:r>
        <w:t>e) assurance responsabilité civile couvrant les dommages causés par l'animal ;</w:t>
      </w:r>
    </w:p>
    <w:p>
      <w:r>
        <w:t>f) suivi d'une séance d'éducation canine validée auprès d'un éducateur agréé ou d'un module du programme municipal d'éducation canine ;</w:t>
      </w:r>
    </w:p>
    <w:p>
      <w:r>
        <w:t>g) signature de la charte du chien citoyen (ramassage systématique, laisse hors zones autorisées, respect des autres usagers, pas d'abandon).</w:t>
      </w:r>
    </w:p>
    <w:p>
      <w:r>
        <w:t>Article 2 — Droits conférés par le statut</w:t>
      </w:r>
    </w:p>
    <w:p>
      <w:r>
        <w:t>a) accès au réseau d'« espaces de liberté » de la Ville (zones clôturées sans laisse), dont l'accès est réservé aux titulaires du statut, dans le respect des règles de chaque site ;</w:t>
      </w:r>
    </w:p>
    <w:p>
      <w:r>
        <w:t>b) accès aux parcs et jardins de la Ville dans les allées autorisées, laisse tenue ;</w:t>
      </w:r>
    </w:p>
    <w:p>
      <w:r>
        <w:t>c) accès prioritaire aux animations canines, aux ateliers municipaux et aux consultations vétérinaires solidaires de la Maison de l'animal en ville – Jane Goodall ;</w:t>
      </w:r>
    </w:p>
    <w:p>
      <w:r>
        <w:t>d) badge et carte de statut, à présenter en cas de contrôle ;</w:t>
      </w:r>
    </w:p>
    <w:p>
      <w:r>
        <w:t>e) offres partenaires négociées par la Ville : assurance responsabilité civile de groupe, éducation canine, toilettage, garde, identification ;</w:t>
      </w:r>
    </w:p>
    <w:p>
      <w:r>
        <w:t>f) pour les transports en commun : la Ville porte le statut auprès d'Île-de-France Mobilités et des opérateurs, en demandant une expérimentation d'accès des chiens titulaires dans les bus et tramways, tenus en laisse courte et muselés [ne dépend PAS de la Ville] ;</w:t>
      </w:r>
    </w:p>
    <w:p>
      <w:r>
        <w:t>g) droit d'usage des fontaines à eau adaptées et des canisites.</w:t>
      </w:r>
    </w:p>
    <w:p>
      <w:r>
        <w:t>Article 3 — Obligations</w:t>
      </w:r>
    </w:p>
    <w:p>
      <w:r>
        <w:t>a) ramasser systématiquement les déjections et disposer d'un moyen de ramassage en promenade ;</w:t>
      </w:r>
    </w:p>
    <w:p>
      <w:r>
        <w:t>b) tenir le chien en laisse hors zones et créneaux autorisés ;</w:t>
      </w:r>
    </w:p>
    <w:p>
      <w:r>
        <w:t>c) signaler tout changement de domicile ou de détenteur ;</w:t>
      </w:r>
    </w:p>
    <w:p>
      <w:r>
        <w:t>d) ne pas laisser divaguer l'animal ; respecter les interdictions applicables aux chiens catégorisés.</w:t>
      </w:r>
    </w:p>
    <w:p>
      <w:r>
        <w:t>Article 4 — Sanctions du statut</w:t>
      </w:r>
    </w:p>
    <w:p>
      <w:r>
        <w:t>avertissement écrit, suspension d'un à six mois, puis retrait du statut pour : déjection non ramassée objectivée par analyse génétique, chien détaché hors zone, défaut de mise à jour du dossier, comportement dangereux.</w:t>
      </w:r>
    </w:p>
    <w:p>
      <w:r>
        <w:t>Le retrait du statut ne prive pas le propriétaire des droits reconnus par la loi ; il supprime les droits spécifiques créés par le présent règlement.</w:t>
      </w:r>
    </w:p>
    <w:p>
      <w:r>
        <w:t>Article 5 — Gouvernance</w:t>
      </w:r>
    </w:p>
    <w:p>
      <w:r>
        <w:t>Comité de suivi : Ville (propreté, espaces verts, condition animale), mairies d'arrondissement concernées, associations de propriétaires (dont PARC.C), vétérinaires, laboratoire.</w:t>
      </w:r>
    </w:p>
    <w:p>
      <w:r>
        <w:t>Réunion semestrielle, compte rendu public.</w:t>
      </w:r>
    </w:p>
    <w:p>
      <w:r>
        <w:t>Deux indicateurs obligatoires : nombre de chiens identifiés dans le périmètre rapporté à l'estimation du nombre de chiens qui y circulent ; nombre de déjections relevées par agent et par semaine.</w:t>
      </w:r>
    </w:p>
    <w:p>
      <w:r>
        <w:t>Article 6 — Sortie du dispositif</w:t>
      </w:r>
    </w:p>
    <w:p>
      <w:r>
        <w:t>À l'échéance de l'expérimentation : publication du rapport, débat au conseil de Paris, décision motivée d'extension, d'ajustement ou d'abandon.</w:t>
      </w:r>
    </w:p>
    <w:p>
      <w:r>
        <w:t>Effacement des correspondances détenues par la Ville à la fin du dispositif.</w:t>
      </w:r>
    </w:p>
    <w:p>
      <w:pPr>
        <w:pStyle w:val="Heading2"/>
      </w:pPr>
      <w:r>
        <w:t>C. Le parcours propriétaire, en cinq étapes (le point qui décide du taux d'adhésion)</w:t>
      </w:r>
    </w:p>
    <w:p>
      <w:pPr>
        <w:pStyle w:val="ListNumber"/>
      </w:pPr>
      <w:r>
        <w:t>Je retire un kit gratuitement en mairie d'arrondissement ou dans un canisite.</w:t>
      </w:r>
    </w:p>
    <w:p>
      <w:pPr>
        <w:pStyle w:val="ListNumber"/>
      </w:pPr>
      <w:r>
        <w:t>Je m'inscris en ligne (laboratoire) et je prends rendez-vous chez un vétérinaire participant.</w:t>
      </w:r>
    </w:p>
    <w:p>
      <w:pPr>
        <w:pStyle w:val="ListNumber"/>
      </w:pPr>
      <w:r>
        <w:t>Le vétérinaire fait un frottis de joue (rapide, indolore, sans prise de sang), met l'échantillon et le formulaire dans l'enveloppe prétimbrée et l'envoie au laboratoire.</w:t>
      </w:r>
    </w:p>
    <w:p>
      <w:pPr>
        <w:pStyle w:val="ListNumber"/>
      </w:pPr>
      <w:r>
        <w:t>Je repars avec une attestation provisoire valable en contrôle ; je reçois ma carte à domicile.</w:t>
      </w:r>
    </w:p>
    <w:p>
      <w:pPr>
        <w:pStyle w:val="ListNumber"/>
      </w:pPr>
      <w:r>
        <w:t>Je reçois mon badge « chien·ne citoyen·ne » (droits) en même temps que la carte génétique, et je coche la séance d'éducation canine.</w:t>
      </w:r>
    </w:p>
    <w:p>
      <w:pPr>
        <w:pStyle w:val="Heading2"/>
      </w:pPr>
      <w:r>
        <w:t>D. Maquette de données (à valider par le DPO de la Ville)</w:t>
      </w:r>
    </w:p>
    <w:p>
      <w:pPr>
        <w:pStyle w:val="ListBullet"/>
      </w:pPr>
      <w:r>
        <w:t>Laboratoire : identité génétique du chien, fichier de profils ADN, durée de conservation définie contractuellement.</w:t>
      </w:r>
    </w:p>
    <w:p>
      <w:pPr>
        <w:pStyle w:val="ListBullet"/>
      </w:pPr>
      <w:r>
        <w:t>Ville : nom, adresse parisienne, identifiant I-CAD, numéro de dossier, statut (actif, suspendu), historique des contrôles. Aucune donnée génétique, aucun ADN.</w:t>
      </w:r>
    </w:p>
    <w:p>
      <w:pPr>
        <w:pStyle w:val="ListBullet"/>
      </w:pPr>
      <w:r>
        <w:t>Base légale, durées, droits d'accès et d'effacement, sous-traitance : à documenter dans l'AIPD avant tout lancement.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