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anti-hallucination des sources</w:t>
      </w:r>
    </w:p>
    <w:p>
      <w:pPr>
        <w:jc w:val="left"/>
      </w:pPr>
      <w:r>
        <w:t>Pièce du dossier « chien citoyen de Paris ».</w:t>
      </w:r>
    </w:p>
    <w:p>
      <w:r>
        <w:t>Paris, 29 septembre 2026.</w:t>
      </w:r>
    </w:p>
    <w:p>
      <w:r>
        <w:t>Document de travail du 29 septembre 2026. Rien n'a été voté.</w:t>
      </w:r>
    </w:p>
    <w:p>
      <w:pPr>
        <w:pStyle w:val="Heading1"/>
      </w:pPr>
      <w:r>
        <w:t>Audit anti-hallucination du dossier chiens-paris</w:t>
      </w:r>
    </w:p>
    <w:p>
      <w:pPr>
        <w:pStyle w:val="Heading2"/>
      </w:pPr>
      <w:r>
        <w:t>Sommaire</w:t>
      </w:r>
    </w:p>
    <w:p>
      <w:pPr>
        <w:pStyle w:val="ListBullet"/>
      </w:pPr>
      <w:r>
        <w:rPr>
          <w:b w:val="0"/>
        </w:rPr>
        <w:t>1. Ce qui était faux, et qui a été corrigé dans les documents</w:t>
      </w:r>
    </w:p>
    <w:p>
      <w:pPr>
        <w:pStyle w:val="ListBullet"/>
      </w:pPr>
      <w:r>
        <w:rPr>
          <w:b w:val="0"/>
        </w:rPr>
        <w:t>2. Ce que j'avais signalé à tort au premier passage</w:t>
      </w:r>
    </w:p>
    <w:p>
      <w:pPr>
        <w:pStyle w:val="ListBullet"/>
      </w:pPr>
      <w:r>
        <w:rPr>
          <w:b w:val="0"/>
        </w:rPr>
        <w:t>3. Affirmations confirmées, avec la source qui les porte</w:t>
      </w:r>
    </w:p>
    <w:p>
      <w:pPr>
        <w:pStyle w:val="ListBullet2"/>
      </w:pPr>
      <w:r>
        <w:rPr>
          <w:b w:val="0"/>
        </w:rPr>
        <w:t>Paris</w:t>
      </w:r>
    </w:p>
    <w:p>
      <w:pPr>
        <w:pStyle w:val="ListBullet2"/>
      </w:pPr>
      <w:r>
        <w:rPr>
          <w:b w:val="0"/>
        </w:rPr>
        <w:t>Saint-Omer</w:t>
      </w:r>
    </w:p>
    <w:p>
      <w:pPr>
        <w:pStyle w:val="ListBullet2"/>
      </w:pPr>
      <w:r>
        <w:rPr>
          <w:b w:val="0"/>
        </w:rPr>
        <w:t>Béziers et jurisprudence</w:t>
      </w:r>
    </w:p>
    <w:p>
      <w:pPr>
        <w:pStyle w:val="ListBullet2"/>
      </w:pPr>
      <w:r>
        <w:rPr>
          <w:b w:val="0"/>
        </w:rPr>
        <w:t>ADN, transports, permis canins</w:t>
      </w:r>
    </w:p>
    <w:p>
      <w:pPr>
        <w:pStyle w:val="ListBullet2"/>
      </w:pPr>
      <w:r>
        <w:rPr>
          <w:b w:val="0"/>
        </w:rPr>
        <w:t>Partenariats, assurance, mécénat, bailleurs</w:t>
      </w:r>
    </w:p>
    <w:p>
      <w:pPr>
        <w:pStyle w:val="ListBullet2"/>
      </w:pPr>
      <w:r>
        <w:rPr>
          <w:b w:val="0"/>
        </w:rPr>
        <w:t>Divers</w:t>
      </w:r>
    </w:p>
    <w:p>
      <w:pPr>
        <w:pStyle w:val="ListBullet"/>
      </w:pPr>
      <w:r>
        <w:rPr>
          <w:b w:val="0"/>
        </w:rPr>
        <w:t>4. Ce qui reste incertain, à assumer tel quel</w:t>
      </w:r>
    </w:p>
    <w:p>
      <w:pPr>
        <w:pStyle w:val="ListBullet"/>
      </w:pPr>
      <w:r>
        <w:rPr>
          <w:b w:val="0"/>
        </w:rPr>
        <w:t>5. Corrections appliquées aux fichiers</w:t>
      </w:r>
    </w:p>
    <w:p>
      <w:pPr>
        <w:pStyle w:val="ListBullet"/>
      </w:pPr>
      <w:r>
        <w:rPr>
          <w:b w:val="0"/>
        </w:rPr>
        <w:t>6. Ajouts postérieurs à l'audit</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p>
      <w:pPr>
        <w:pStyle w:val="Heading2"/>
      </w:pPr>
      <w:r>
        <w:t>6. Ajouts postérieurs à l'audit</w:t>
      </w:r>
    </w:p>
    <w:p>
      <w:r>
        <w:t>Le volet communication, presse et réseaux (</w:t>
      </w:r>
      <w:r>
        <w:rPr>
          <w:rFonts w:ascii="Consolas" w:hAnsi="Consolas"/>
          <w:sz w:val="20"/>
        </w:rPr>
        <w:t>PITCH-COM-PRESSE-RESEAUX.md</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w:t>
      </w:r>
      <w:r>
        <w:t xml:space="preserve"> et </w:t>
      </w:r>
      <w:r>
        <w:rPr>
          <w:rFonts w:ascii="Consolas" w:hAnsi="Consolas"/>
          <w:sz w:val="20"/>
        </w:rPr>
        <w:t>PITCH-CITOYEN.md</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rPr>
          <w:b/>
        </w:rPr>
        <w:t>Le 13e comme périmètre pilote</w:t>
      </w:r>
      <w:r>
        <w:t xml:space="preserve"> (arbitrage du 29/09/2026). Chiffres vérifiés : </w:t>
      </w:r>
      <w:r>
        <w:rPr>
          <w:rFonts w:ascii="Consolas" w:hAnsi="Consolas"/>
          <w:sz w:val="20"/>
        </w:rPr>
        <w:t>confirmé</w:t>
      </w:r>
      <w:r>
        <w:t xml:space="preserve"> — 43 sièges au conseil d'arrondissement (12 conseillers de Paris + 31 conseillers d'arrondissement) et maire élu au premier tour de mars 2026 avec 51,52 % des suffrages et 35 des 43 sièges, 116 196 inscrits (Ville de Paris, page « élus d'arrondissements » mise à jour le 31/03/2026 ; résultats des municipales 2026 dans le 13e). </w:t>
      </w:r>
      <w:r>
        <w:rPr>
          <w:rFonts w:ascii="Consolas" w:hAnsi="Consolas"/>
          <w:sz w:val="20"/>
        </w:rPr>
        <w:t>confirmé avec nuance</w:t>
      </w:r>
      <w:r>
        <w:t xml:space="preserve"> — 62 espaces verts ouverts au public, soit 6 % de la surface, et chiens non tenus en laisse signalés sur la promenade de la petite ceinture à la Poterne des Peupliers : source datée de 2023 (contrat de prévention et de sécurité du 13e), donc à rafraîchir. </w:t>
      </w:r>
      <w:r>
        <w:rPr>
          <w:rFonts w:ascii="Consolas" w:hAnsi="Consolas"/>
          <w:sz w:val="20"/>
        </w:rPr>
        <w:t>incertain</w:t>
      </w:r>
      <w:r>
        <w:t xml:space="preserve"> — population « près de 180 000 habitants » et 105 665 logements : annuaire et presse locale, pas de source statistique officielle ouverte à ce jour. </w:t>
      </w:r>
      <w:r>
        <w:rPr>
          <w:b/>
        </w:rPr>
        <w:t>Non trouvé</w:t>
      </w:r>
      <w:r>
        <w:t xml:space="preserve"> : le nombre de chiens identifiés dans le 13e. Aucun chiffre fiable — à demander (documents administratifs communicables) avant tout usage public, comme pour le total parisien.</w:t>
      </w:r>
    </w:p>
    <w:p>
      <w:r>
        <w:t>Sources : https://www.paris.fr/pages/elus-d-arrondissements-2365 https://www.ici.fr/ile-de-france/paris-75/paris-13e/elections https://cdn.paris.fr/paris/2023/11/14/cpsa-13e_2-juin-2023-Mxbk.pdf</w:t>
      </w:r>
    </w:p>
    <w:p>
      <w:pPr>
        <w:pStyle w:val="ListNumber"/>
      </w:pPr>
      <w:r>
        <w:rPr>
          <w:b/>
        </w:rPr>
        <w:t>La petite ceinture du 13e (PC 13)</w:t>
      </w:r>
      <w:r>
        <w:t xml:space="preserve"> — vérifié sur la fiche officielle du lieu : </w:t>
      </w:r>
      <w:r>
        <w:rPr>
          <w:rFonts w:ascii="Consolas" w:hAnsi="Consolas"/>
          <w:sz w:val="20"/>
        </w:rPr>
        <w:t>confirmé</w:t>
      </w:r>
      <w:r>
        <w:t xml:space="preserve"> 12 234 m², ouverte en 2016, reliant les jardins Charles-Trenet, Moulin-de-la-Pointe et Poterne-des-Peupliers, label Ecojardin, horaires 8 h – 20 h 30 en saison et H24 du troisième lundi d'avril au troisième dimanche de septembre, et </w:t>
      </w:r>
      <w:r>
        <w:rPr>
          <w:b/>
        </w:rPr>
        <w:t>« Admission animaux : non »</w:t>
      </w:r>
      <w:r>
        <w:t xml:space="preserve">. La ligne du contrat de prévention et de sécurité du 13e (« SDF et chiens non tenus en laisse ») a été relue dans le texte intégral : </w:t>
      </w:r>
      <w:r>
        <w:rPr>
          <w:rFonts w:ascii="Consolas" w:hAnsi="Consolas"/>
          <w:sz w:val="20"/>
        </w:rPr>
        <w:t>confirmé</w:t>
      </w:r>
      <w:r>
        <w:t>. Conséquence retenue dans le dossier : ce lieu ne peut pas être proposé comme espace de liberté, seulement comme site de comptage d'usage.</w:t>
      </w:r>
    </w:p>
    <w:p>
      <w:r>
        <w:t>Sources : https://www.paris.fr/lieux/petite-ceinture-du-13e-pc-13-18089 https://cdn.paris.fr/paris/2023/11/14/cpsa-13e_2-juin-2023-Mxbk.pdf</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