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Statut du chien citoyen : note de conception</w:t>
      </w:r>
    </w:p>
    <w:p>
      <w:pPr>
        <w:jc w:val="left"/>
      </w:pPr>
      <w:r>
        <w:t>Pièce du dossier « chien citoyen de Paris ».</w:t>
      </w:r>
    </w:p>
    <w:p>
      <w:r>
        <w:t>Paris, 29 septembre 2026.</w:t>
      </w:r>
    </w:p>
    <w:p>
      <w:r>
        <w:t>Document de travail du 29 septembre 2026. Rien n'a été voté.</w:t>
      </w:r>
    </w:p>
    <w:p>
      <w:pPr>
        <w:pStyle w:val="Heading1"/>
      </w:pPr>
      <w:r>
        <w:t>Statut « chien·ne citoyen·ne de Paris » — note de conception (29/09/2026)</w:t>
      </w:r>
    </w:p>
    <w:p>
      <w:pPr>
        <w:pStyle w:val="Heading2"/>
      </w:pPr>
      <w:r>
        <w:t>Sommaire</w:t>
      </w:r>
    </w:p>
    <w:p>
      <w:pPr>
        <w:pStyle w:val="ListBullet"/>
      </w:pPr>
      <w:r>
        <w:rPr>
          <w:b w:val="0"/>
        </w:rPr>
        <w:t>0. Le verdict d'abord</w:t>
      </w:r>
    </w:p>
    <w:p>
      <w:pPr>
        <w:pStyle w:val="ListBullet"/>
      </w:pPr>
      <w:r>
        <w:rPr>
          <w:b w:val="0"/>
        </w:rPr>
        <w:t>1. Le dispositif, brique par brique</w:t>
      </w:r>
    </w:p>
    <w:p>
      <w:pPr>
        <w:pStyle w:val="ListBullet2"/>
      </w:pPr>
      <w:r>
        <w:rPr>
          <w:b w:val="0"/>
        </w:rPr>
        <w:t>1.1 Registre et identification</w:t>
      </w:r>
    </w:p>
    <w:p>
      <w:pPr>
        <w:pStyle w:val="ListBullet2"/>
      </w:pPr>
      <w:r>
        <w:rPr>
          <w:b w:val="0"/>
        </w:rPr>
        <w:t>1.2 Le bâton</w:t>
      </w:r>
    </w:p>
    <w:p>
      <w:pPr>
        <w:pStyle w:val="ListBullet2"/>
      </w:pPr>
      <w:r>
        <w:rPr>
          <w:b w:val="0"/>
        </w:rPr>
        <w:t>1.3 La carotte</w:t>
      </w:r>
    </w:p>
    <w:p>
      <w:pPr>
        <w:pStyle w:val="ListBullet2"/>
      </w:pPr>
      <w:r>
        <w:rPr>
          <w:b w:val="0"/>
        </w:rPr>
        <w:t>1.4 Gouvernance et sortie</w:t>
      </w:r>
    </w:p>
    <w:p>
      <w:pPr>
        <w:pStyle w:val="ListBullet"/>
      </w:pPr>
      <w:r>
        <w:rPr>
          <w:b w:val="0"/>
        </w:rPr>
        <w:t>2. Qui peut faire quoi (le vrai tableau de contraintes)</w:t>
      </w:r>
    </w:p>
    <w:p>
      <w:pPr>
        <w:pStyle w:val="ListBullet"/>
      </w:pPr>
      <w:r>
        <w:rPr>
          <w:b w:val="0"/>
        </w:rPr>
        <w:t>3. Chiffrage</w:t>
      </w:r>
    </w:p>
    <w:p>
      <w:pPr>
        <w:pStyle w:val="ListBullet2"/>
      </w:pPr>
      <w:r>
        <w:t>[3.1 Coûts (base Saint-Omer, extrapolation Paris [E])](#31-coûts-base-saint-omer-extrapolation-paris-e)</w:t>
      </w:r>
    </w:p>
    <w:p>
      <w:pPr>
        <w:pStyle w:val="ListBullet2"/>
      </w:pPr>
      <w:r>
        <w:rPr>
          <w:b w:val="0"/>
        </w:rPr>
        <w:t>3.2 Recettes et transferts</w:t>
      </w:r>
    </w:p>
    <w:p>
      <w:pPr>
        <w:pStyle w:val="ListBullet"/>
      </w:pPr>
      <w:r>
        <w:rPr>
          <w:b w:val="0"/>
        </w:rPr>
        <w:t>4. Les cinq décisions à trancher (ce sont elles, le projet politique)</w:t>
      </w:r>
    </w:p>
    <w:p>
      <w:pPr>
        <w:pStyle w:val="ListBullet"/>
      </w:pPr>
      <w:r>
        <w:rPr>
          <w:b w:val="0"/>
        </w:rPr>
        <w:t>5. Objections à anticiper (sinon elles tueront le projet)</w:t>
      </w:r>
    </w:p>
    <w:p>
      <w:pPr>
        <w:pStyle w:val="ListBullet"/>
      </w:pPr>
      <w:r>
        <w:rPr>
          <w:b w:val="0"/>
        </w:rPr>
        <w:t>6. Positionnement : la formulation qui peut devenir majoritaire</w:t>
      </w:r>
    </w:p>
    <w:p>
      <w:pPr>
        <w:pStyle w:val="ListBullet"/>
      </w:pPr>
      <w:r>
        <w:rPr>
          <w:b w:val="0"/>
        </w:rPr>
        <w:t>7. Prochaines étapes (coût, délai)</w:t>
      </w:r>
    </w:p>
    <w:p>
      <w:r>
        <w:t>Idée de Pierre : créer un statut + un registre des chiens parisiens (ADN + propriétaire domicilié à Paris) ;</w:t>
      </w:r>
    </w:p>
    <w:p>
      <w:pPr>
        <w:pStyle w:val="ListBullet"/>
      </w:pPr>
      <w:r>
        <w:t>bâton = campagnes de prélèvement ADN sur les crottes + amendes ;</w:t>
      </w:r>
    </w:p>
    <w:p>
      <w:pPr>
        <w:pStyle w:val="ListBullet"/>
      </w:pPr>
      <w:r>
        <w:t>carotte = droits en plus pour les « vrais chiens parisiens » : tous les transports (bus et tram inclus), généralisation des zones sans laisse (modèle Parc Monceau, contrôlable et enforceable) ;</w:t>
      </w:r>
    </w:p>
    <w:p>
      <w:pPr>
        <w:pStyle w:val="ListBullet"/>
      </w:pPr>
      <w:r>
        <w:t>partenariats assurances, programmes d'éducation canine, etc.</w:t>
      </w:r>
    </w:p>
    <w:p>
      <w:r>
        <w:t>[E] = estimation ou calcul de l'auteur, pas un chiffre sourcé.</w:t>
      </w:r>
    </w:p>
    <w:p>
      <w:pPr>
        <w:pStyle w:val="Heading2"/>
      </w:pPr>
      <w:r>
        <w:t>0. Le verdict d'abord</w:t>
      </w:r>
    </w:p>
    <w:p>
      <w:r>
        <w:t xml:space="preserve">Chaque brique de l'idée </w:t>
      </w:r>
      <w:r>
        <w:rPr>
          <w:b/>
        </w:rPr>
        <w:t>existe déjà</w:t>
      </w:r>
      <w:r>
        <w:t>, séparément, et fonctionne :</w:t>
      </w:r>
    </w:p>
    <w:p>
      <w:pPr>
        <w:pStyle w:val="ListBullet"/>
      </w:pPr>
      <w:r>
        <w:t>le bâton ADN : arrêté municipal de Saint-Omer (juin 2025), validé par le contrôle de légalité, -60 % de déjections en 6 mois, extension à toute la ville en août 2026 ;</w:t>
      </w:r>
    </w:p>
    <w:p>
      <w:pPr>
        <w:pStyle w:val="ListBullet"/>
      </w:pPr>
      <w:r>
        <w:t>la carotte conditionnelle : l'espace sans laisse du Parc Monceau (8e) est déjà réservé aux chiens sociables, identifiables (puce/tatouage), vaccinés — c'est un embryon de statut ;</w:t>
      </w:r>
    </w:p>
    <w:p>
      <w:pPr>
        <w:pStyle w:val="ListBullet"/>
      </w:pPr>
      <w:r>
        <w:t>le mécanisme « licence = droits en plus » : Allemagne (Brême depuis le 1er juillet 2026, Basse-Saxe depuis 2013), où la licence canine donne une réduction de taxe (Munich) ou une exemption d'obligation de laisse (Hambourg, Schleswig-Holstein).</w:t>
      </w:r>
    </w:p>
    <w:p>
      <w:pPr>
        <w:pStyle w:val="IntenseQuote"/>
      </w:pPr>
      <w:r>
        <w:t xml:space="preserve">Ce qui n'existe nulle part : </w:t>
      </w:r>
      <w:r>
        <w:rPr>
          <w:b/>
        </w:rPr>
        <w:t>le paquet</w:t>
      </w:r>
      <w:r>
        <w:t>. Personne n'a encore lié registre ADN obligatoire + droits exclusifs de mobilité et d'espace libre. C'est là qu'est l'idée, et c'est cohérent : le statut est ce qui rend les droits défendables politiquement.</w:t>
      </w:r>
    </w:p>
    <w:p>
      <w:pPr>
        <w:pStyle w:val="IntenseQuote"/>
      </w:pPr>
      <w:r>
        <w:rPr>
          <w:b/>
        </w:rPr>
        <w:t>Blocage réel n° 1</w:t>
      </w:r>
      <w:r>
        <w:t xml:space="preserve"> : les bus et tramways ne dépendent PAS de la Ville mais d'Île-de-France Mobilités (règlement des voyageurs applicable à tous les opérateurs). La Ville peut négocier, pas décréter.</w:t>
      </w:r>
    </w:p>
    <w:p>
      <w:pPr>
        <w:pStyle w:val="Heading2"/>
      </w:pPr>
      <w:r>
        <w:t>1. Le dispositif, brique par brique</w:t>
      </w:r>
    </w:p>
    <w:p>
      <w:pPr>
        <w:pStyle w:val="Heading3"/>
      </w:pPr>
      <w:r>
        <w:t>1.1 Registre et identification</w:t>
      </w:r>
    </w:p>
    <w:p>
      <w:pPr>
        <w:pStyle w:val="ListBullet"/>
      </w:pPr>
      <w:r>
        <w:t>Étage 1 (national, existe) : puce électronique ou tatouage + fichier I-CAD. Obligatoire en France depuis 2012. C'est lui qui porte le propriétaire et son adresse.</w:t>
      </w:r>
    </w:p>
    <w:p>
      <w:pPr>
        <w:pStyle w:val="ListBullet"/>
      </w:pPr>
      <w:r>
        <w:t>Étage 2 (local, à créer) : « passeport génétique » du chien = prélèvement salivaire chez le vétérinaire, analyse en laboratoire, carte d'identité ADN remise au propriétaire. Modèle Saint-Omer : kit gratuit retiré en mairie, inscription en ligne (laboratoire Antagene), prélèvement chez le véto, envoi direct au labo, attestation provisoire immédiate, carte définitive par courrier.</w:t>
      </w:r>
    </w:p>
    <w:p>
      <w:pPr>
        <w:pStyle w:val="ListBullet"/>
      </w:pPr>
      <w:r>
        <w:t>Architecture des données (point RGPD central) : le laboratoire conserve la base génétique ; la Ville ne reçoit que la correspondance « prélèvement -&gt; propriétaire ». C'est le montage retenu à Saint-Omer et c'est ce qui rend le dispositif défendable.</w:t>
      </w:r>
    </w:p>
    <w:p>
      <w:pPr>
        <w:pStyle w:val="ListBullet"/>
      </w:pPr>
      <w:r>
        <w:t>Condition de domiciliation : vérifiable via l'adresse I-CAD du propriétaire.</w:t>
      </w:r>
    </w:p>
    <w:p>
      <w:pPr>
        <w:pStyle w:val="Heading3"/>
      </w:pPr>
      <w:r>
        <w:t>1.2 Le bâton</w:t>
      </w:r>
    </w:p>
    <w:p>
      <w:pPr>
        <w:pStyle w:val="ListBullet"/>
      </w:pPr>
      <w:r>
        <w:t>Obligation d'identification ADN sur un périmètre défini (type ZFE, comme à Saint-Omer) : contrôle par la police municipale, amende jusqu'à 150 € si le certificat ADN n'est pas présenté dans les 72 h (contravention de 2e classe), régularisation possible sous 10 jours.</w:t>
      </w:r>
    </w:p>
    <w:p>
      <w:pPr>
        <w:pStyle w:val="ListBullet"/>
      </w:pPr>
      <w:r>
        <w:t>Prélèvement sur déjection non ramassée par la police municipale habilitée, analyse en labo, identification du propriétaire, puis sanction : Saint-Omer applique 267 €, soit 135 € de contravention + 132 € de frais de nettoyage, plus 34,10 € HT d'analyse refacturés au propriétaire indélicat.</w:t>
      </w:r>
    </w:p>
    <w:p>
      <w:pPr>
        <w:pStyle w:val="ListBullet"/>
      </w:pPr>
      <w:r>
        <w:t>Vérité à assumer : le rendement financier est nul. Saint-Omer n'a eu que 3 crottes matchées sur la période. L'effet utile est dissuasif (-60 % de crottes) et politique (« on ne fait plus payer la collectivité »), pas budgétaire.</w:t>
      </w:r>
    </w:p>
    <w:p>
      <w:pPr>
        <w:pStyle w:val="ListBullet"/>
      </w:pPr>
      <w:r>
        <w:t>Risque juridique à instruire : un arrêté équivalent à Béziers a été ANNULE. Saint-Omer a passé le contrôle de légalité de la préfecture, mais il n'y a pas de jurisprudence stabilisée en France. L'Espagne compte plus de 80 communes utilisant l'identification ADN des déjections, dont Málaga, pionnière depuis 2018 (Torrevieja, parfois citée, n'a pas été confirmée).</w:t>
      </w:r>
    </w:p>
    <w:p>
      <w:pPr>
        <w:pStyle w:val="Heading3"/>
      </w:pPr>
      <w:r>
        <w:t>1.3 La carotte</w:t>
      </w:r>
    </w:p>
    <w:p>
      <w:pPr>
        <w:pStyle w:val="ListBullet"/>
      </w:pPr>
      <w:r>
        <w:t>Zones sans laisse généralisées, modèle Monceau 2026 : pelouse clôturée de 2 000 m², ouverte sur toute l'amplitude du parc (7 h - 22 h), avec un éducateur canin payé par la mairie présent 7 h - 11 h. Accès réservé aux chiens sociables, identifiables, vaccinés ; chiens catégorisés interdits. Saison 1 (16 avril - 14 octobre 2025, 2 h le matin) jugée très positive, avec des « effets de bord » (chiens détachés hors zone) ; la saison 2 a réduit la surface de moitié mais étendu les horaires. Leçon : c'est l'encadrement qui achète la tolérance, pas la surface.</w:t>
      </w:r>
    </w:p>
    <w:p>
      <w:pPr>
        <w:pStyle w:val="ListBullet"/>
      </w:pPr>
      <w:r>
        <w:t>Transports : aujourd'hui, règlement IDFM = petit chien en contenant &lt;= 45x30 cm avec ticket réduit ; gros chien autorisé en métro/RER tenu en laisse ET muselé, mais interdit en bus et tramway ; amende jusqu'à 150 € (4e classe, code des transports). Lyon a créé un « ticket Waf » pour les chiens &gt; 6 kg. Le maire de Marseille, réélu, veut étendre aux grands chiens. Plus d'une dizaine de règles/tarifs coexistent en Île-de-France et des collectifs demandent l'uniformisation : le sujet est mûr, mais la décision est à IDFM.</w:t>
      </w:r>
    </w:p>
    <w:p>
      <w:pPr>
        <w:pStyle w:val="ListBullet"/>
      </w:pPr>
      <w:r>
        <w:t>Passeport de droits (idée de Pierre, la plus forte) : badge/medaille « chien citoyen » donnant accès aux zones sans laisse de la Ville, à des fontaines, à des caniparcs labellisés, à des offres partenaires (assurance RC, éducation canine, toilettage, garde). En Allemagne, c'est déjà le couplage gagnant : licence -&gt; réduction de taxe ou dispense de laisse.</w:t>
      </w:r>
    </w:p>
    <w:p>
      <w:pPr>
        <w:pStyle w:val="ListBullet"/>
      </w:pPr>
      <w:r>
        <w:t>Éducation canine : la Ville mandate déjà des éducateurs professionnels (paris.fr) ; le programme d'éducation devient la contrepartie obligatoire du statut (une séance validée).</w:t>
      </w:r>
    </w:p>
    <w:p>
      <w:pPr>
        <w:pStyle w:val="Heading3"/>
      </w:pPr>
      <w:r>
        <w:t>1.4 Gouvernance et sortie</w:t>
      </w:r>
    </w:p>
    <w:p>
      <w:pPr>
        <w:pStyle w:val="ListBullet"/>
      </w:pPr>
      <w:r>
        <w:t>Comité de suivi (Ville, mairies d'arrondissement, associations type PARC.C, vétérinaires, laboratoire), rapport annuel public, évaluation par périmètre (modèle Saint-Omer : évaluation à l'automne, extension si positif).</w:t>
      </w:r>
    </w:p>
    <w:p>
      <w:pPr>
        <w:pStyle w:val="ListBullet"/>
      </w:pPr>
      <w:r>
        <w:t>Sanction de l'adhérent : retrait ou suspension du statut, pas de sanction sur l'animal.</w:t>
      </w:r>
    </w:p>
    <w:p>
      <w:pPr>
        <w:pStyle w:val="ListBullet"/>
      </w:pPr>
      <w:r>
        <w:t>Durée : statut attaché au chien (une fois le prélèvement fait, valable à vie, comme à Saint-Omer), adhésion annuelle à renouveler par le propriétaire.</w:t>
      </w:r>
    </w:p>
    <w:p>
      <w:pPr>
        <w:pStyle w:val="Heading2"/>
      </w:pPr>
      <w:r>
        <w:t>2. Qui peut faire quoi (le vrai tableau de contraintes)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Brique</w:t>
            </w:r>
          </w:p>
        </w:tc>
        <w:tc>
          <w:tcPr>
            <w:tcW w:type="dxa" w:w="2880"/>
          </w:tcPr>
          <w:p>
            <w:r>
              <w:t>Autorité</w:t>
            </w:r>
          </w:p>
        </w:tc>
        <w:tc>
          <w:tcPr>
            <w:tcW w:type="dxa" w:w="2880"/>
          </w:tcPr>
          <w:p>
            <w:r>
              <w:t>Faisable sans loi ?</w:t>
            </w:r>
          </w:p>
        </w:tc>
      </w:tr>
      <w:tr>
        <w:tc>
          <w:tcPr>
            <w:tcW w:type="dxa" w:w="2880"/>
          </w:tcPr>
          <w:p>
            <w:r>
              <w:t>Registre local + carte ADN</w:t>
            </w:r>
          </w:p>
        </w:tc>
        <w:tc>
          <w:tcPr>
            <w:tcW w:type="dxa" w:w="2880"/>
          </w:tcPr>
          <w:p>
            <w:r>
              <w:t>Ville (arrêté), contrôle de légalité préfecture</w:t>
            </w:r>
          </w:p>
        </w:tc>
        <w:tc>
          <w:tcPr>
            <w:tcW w:type="dxa" w:w="2880"/>
          </w:tcPr>
          <w:p>
            <w:r>
              <w:t>Oui, mais jurisprudence non stabilisée (Béziers annulé)</w:t>
            </w:r>
          </w:p>
        </w:tc>
      </w:tr>
      <w:tr>
        <w:tc>
          <w:tcPr>
            <w:tcW w:type="dxa" w:w="2880"/>
          </w:tcPr>
          <w:p>
            <w:r>
              <w:t>Amendes déjections (135 -&gt; 300 €)</w:t>
            </w:r>
          </w:p>
        </w:tc>
        <w:tc>
          <w:tcPr>
            <w:tcW w:type="dxa" w:w="2880"/>
          </w:tcPr>
          <w:p>
            <w:r>
              <w:t>Ville / État selon la contravention visée</w:t>
            </w:r>
          </w:p>
        </w:tc>
        <w:tc>
          <w:tcPr>
            <w:tcW w:type="dxa" w:w="2880"/>
          </w:tcPr>
          <w:p>
            <w:r>
              <w:t>Oui pour la partie municipale</w:t>
            </w:r>
          </w:p>
        </w:tc>
      </w:tr>
      <w:tr>
        <w:tc>
          <w:tcPr>
            <w:tcW w:type="dxa" w:w="2880"/>
          </w:tcPr>
          <w:p>
            <w:r>
              <w:t>Zones sans laisse dans les parcs</w:t>
            </w:r>
          </w:p>
        </w:tc>
        <w:tc>
          <w:tcPr>
            <w:tcW w:type="dxa" w:w="2880"/>
          </w:tcPr>
          <w:p>
            <w:r>
              <w:t>Ville (règlement des parcs) + préfet (RSD)</w:t>
            </w:r>
          </w:p>
        </w:tc>
        <w:tc>
          <w:tcPr>
            <w:tcW w:type="dxa" w:w="2880"/>
          </w:tcPr>
          <w:p>
            <w:r>
              <w:t>Oui, expérimentation validée à Monceau</w:t>
            </w:r>
          </w:p>
        </w:tc>
      </w:tr>
      <w:tr>
        <w:tc>
          <w:tcPr>
            <w:tcW w:type="dxa" w:w="2880"/>
          </w:tcPr>
          <w:p>
            <w:r>
              <w:t>Accès bus et tramway</w:t>
            </w:r>
          </w:p>
        </w:tc>
        <w:tc>
          <w:tcPr>
            <w:tcW w:type="dxa" w:w="2880"/>
          </w:tcPr>
          <w:p>
            <w:r>
              <w:t>Île-de-France Mobilités + opérateurs</w:t>
            </w:r>
          </w:p>
        </w:tc>
        <w:tc>
          <w:tcPr>
            <w:tcW w:type="dxa" w:w="2880"/>
          </w:tcPr>
          <w:p>
            <w:r>
              <w:t>Non : négociation, pas décision municipale</w:t>
            </w:r>
          </w:p>
        </w:tc>
      </w:tr>
      <w:tr>
        <w:tc>
          <w:tcPr>
            <w:tcW w:type="dxa" w:w="2880"/>
          </w:tcPr>
          <w:p>
            <w:r>
              <w:t>Métro/RER pour gros chiens (existant)</w:t>
            </w:r>
          </w:p>
        </w:tc>
        <w:tc>
          <w:tcPr>
            <w:tcW w:type="dxa" w:w="2880"/>
          </w:tcPr>
          <w:p>
            <w:r>
              <w:t>IDFM/RATP</w:t>
            </w:r>
          </w:p>
        </w:tc>
        <w:tc>
          <w:tcPr>
            <w:tcW w:type="dxa" w:w="2880"/>
          </w:tcPr>
          <w:p>
            <w:r>
              <w:t>Déjà en place sous conditions laisse+muselière</w:t>
            </w:r>
          </w:p>
        </w:tc>
      </w:tr>
      <w:tr>
        <w:tc>
          <w:tcPr>
            <w:tcW w:type="dxa" w:w="2880"/>
          </w:tcPr>
          <w:p>
            <w:r>
              <w:t>Taxe chien, fichier national ADN</w:t>
            </w:r>
          </w:p>
        </w:tc>
        <w:tc>
          <w:tcPr>
            <w:tcW w:type="dxa" w:w="2880"/>
          </w:tcPr>
          <w:p>
            <w:r>
              <w:t>Loi nationale (abrogée en 1971)</w:t>
            </w:r>
          </w:p>
        </w:tc>
        <w:tc>
          <w:tcPr>
            <w:tcW w:type="dxa" w:w="2880"/>
          </w:tcPr>
          <w:p>
            <w:r>
              <w:t>Non</w:t>
            </w:r>
          </w:p>
        </w:tc>
      </w:tr>
      <w:tr>
        <w:tc>
          <w:tcPr>
            <w:tcW w:type="dxa" w:w="2880"/>
          </w:tcPr>
          <w:p>
            <w:r>
              <w:t>Partenariats assurance / éducation</w:t>
            </w:r>
          </w:p>
        </w:tc>
        <w:tc>
          <w:tcPr>
            <w:tcW w:type="dxa" w:w="2880"/>
          </w:tcPr>
          <w:p>
            <w:r>
              <w:t>Ville + opérateurs privés</w:t>
            </w:r>
          </w:p>
        </w:tc>
        <w:tc>
          <w:tcPr>
            <w:tcW w:type="dxa" w:w="2880"/>
          </w:tcPr>
          <w:p>
            <w:r>
              <w:t>Oui, conventionnement simple</w:t>
            </w:r>
          </w:p>
        </w:tc>
      </w:tr>
    </w:tbl>
    <w:p>
      <w:pPr>
        <w:pStyle w:val="Heading2"/>
      </w:pPr>
      <w:r>
        <w:t>3. Chiffrage</w:t>
      </w:r>
    </w:p>
    <w:p>
      <w:pPr>
        <w:pStyle w:val="Heading3"/>
      </w:pPr>
      <w:r>
        <w:t>3.1 Coûts (base Saint-Omer, extrapolation Paris [E])</w:t>
      </w:r>
    </w:p>
    <w:p>
      <w:pPr>
        <w:pStyle w:val="ListBullet"/>
      </w:pPr>
      <w:r>
        <w:t>Marché laboratoire : 42 000 € sur 2 ans pour une ville de 14 000 habitants (~868 chiens fichés la 1re année) -&gt; coût public ≈ 48 € par chien fiché la 1re année. À l'échelle Paris (100 000 chiens) : 2 à 5 M€ étalés [E], en supposant des kits gratuits et des journées d'identification ; le chiffre de ~5 M€ est celui avancé par Le Parisien.</w:t>
      </w:r>
    </w:p>
    <w:p>
      <w:pPr>
        <w:pStyle w:val="ListBullet"/>
      </w:pPr>
      <w:r>
        <w:t>Analyse d'une déjection : 34,10 € HT (facturée au propriétaire fautif à Saint-Omer).</w:t>
      </w:r>
    </w:p>
    <w:p>
      <w:pPr>
        <w:pStyle w:val="ListBullet"/>
      </w:pPr>
      <w:r>
        <w:t>Registre/portail web ville : 30-60 k€ de développement [E].</w:t>
      </w:r>
    </w:p>
    <w:p>
      <w:pPr>
        <w:pStyle w:val="ListBullet"/>
      </w:pPr>
      <w:r>
        <w:t>Espace sans laisse : 60-150 k€ d'aménagement par site [E] + éducateur canin présent 4 h par jour (~50 k€/an [E]) — Monceau existe déjà, c'est le modèle à dupliquer.</w:t>
      </w:r>
    </w:p>
    <w:p>
      <w:pPr>
        <w:pStyle w:val="ListBullet"/>
      </w:pPr>
      <w:r>
        <w:t>Police municipale : temps agent, pas de budget nouveau mais un arbitrage (ce temps n'est plus affecté ailleurs).</w:t>
      </w:r>
    </w:p>
    <w:p>
      <w:pPr>
        <w:pStyle w:val="ListBullet"/>
      </w:pPr>
      <w:r>
        <w:t>Total d'un pilote crédible (2-3 arrondissements, 2 ans) : 300-600 k€ [E].</w:t>
      </w:r>
    </w:p>
    <w:p>
      <w:pPr>
        <w:pStyle w:val="ListBullet"/>
      </w:pPr>
      <w:r>
        <w:t>Version Paris entier sur le mandat : 3-6 M€ d'investissement + fonctionnement [E], soit moins de 1 % du budget propreté (800 M€/an) et ~0,05 % du budget de la Ville (11,7 Md€).</w:t>
      </w:r>
    </w:p>
    <w:p>
      <w:pPr>
        <w:pStyle w:val="Heading3"/>
      </w:pPr>
      <w:r>
        <w:t>3.2 Recettes et transferts</w:t>
      </w:r>
    </w:p>
    <w:p>
      <w:pPr>
        <w:pStyle w:val="ListBullet"/>
      </w:pPr>
      <w:r>
        <w:t>Amendes : symboliques (3 crottes matchées à Saint-Omer). À ne pas vendre comme recette.</w:t>
      </w:r>
    </w:p>
    <w:p>
      <w:pPr>
        <w:pStyle w:val="ListBullet"/>
      </w:pPr>
      <w:r>
        <w:t>Refacturation des analyses au propriétaire fautif : 34,10 € HT l'unité, couvre le coût du contrôle.</w:t>
      </w:r>
    </w:p>
    <w:p>
      <w:pPr>
        <w:pStyle w:val="ListBullet"/>
      </w:pPr>
      <w:r>
        <w:t>Cotisation d'adhésion au statut : 15-25 €/chien/an [E] -&gt; 5 000 adhérents = 75-125 k€/an ; 100 000 adhérents (utopique la 1re année) = 1,5-2,5 M€/an. Alternative : gratuité financée par les partenariats (assurance affinitaire : 5-15 €/adhérent/an de commission [E]).</w:t>
      </w:r>
    </w:p>
    <w:p>
      <w:pPr>
        <w:pStyle w:val="ListBullet"/>
      </w:pPr>
      <w:r>
        <w:t>Transfert invisible mais réel : les 800 000 sacs/an distribués à Saint-Omer (80 000 là-bas) et les canisites ne coûtent plus rien à la collectivité si le réflexe de ramassage s'installe.</w:t>
      </w:r>
    </w:p>
    <w:p>
      <w:pPr>
        <w:pStyle w:val="Heading2"/>
      </w:pPr>
      <w:r>
        <w:t>4. Les cinq décisions à trancher (ce sont elles, le projet politique)</w:t>
      </w:r>
    </w:p>
    <w:p>
      <w:r>
        <w:t>D1. Bâton universel ou contrat ? Obligation ADN sur périmètre (modèle Saint-Omer, forte couverture, jurisprudence fragile) vs statut volontaire (faible couverture, solide juridiquement). Recommandation : obligation sur un périmètre pilote + statut volontaire pour les droits. C'est le seul montage qui couvre les deux faces.</w:t>
      </w:r>
    </w:p>
    <w:p>
      <w:r>
        <w:t>D2. Quels droits pour l'adhérent ? Transports (négociation IDFM) ; zones sans laisse (pouvoir propre) ; équipements. Commencer par ce qui ne dépend que de la Ville.</w:t>
      </w:r>
    </w:p>
    <w:p>
      <w:r>
        <w:t>D3. Le prix d'entrée : gratuit (taux d'adhésion maximal, attaque « encore de l'argent pour les chiens ») ou cotisation (autofinancement, exclusion des plus modestes).</w:t>
      </w:r>
    </w:p>
    <w:p>
      <w:r>
        <w:t>D4. Couverture minimale : c'est LE paramètre critique. En dessous de ~50 % des chiens fichés, le dispositif se retourne (seuls les honnêtes sont tracés ; Saint-Omer plafonne à ~868 chiens, Malaga à ~50 % après deux ans). Il faut une campagne d'adhésion massive avant d'annoncer la sanction — sinon le premier billet de blog hostile tue le dispositif.</w:t>
      </w:r>
    </w:p>
    <w:p>
      <w:r>
        <w:t>D5. Le périmètre pilote : le 20e (6 133 chiens identifiés, 45 sièges de conseillers) ou le 10e (3 580 chiens, 19 sièges) ; le 8e a déjà l'infrastructure mais peu de chiens.</w:t>
      </w:r>
    </w:p>
    <w:p>
      <w:pPr>
        <w:pStyle w:val="Heading2"/>
      </w:pPr>
      <w:r>
        <w:t>5. Objections à anticiper (sinon elles tueront le projet)</w:t>
      </w:r>
    </w:p>
    <w:p>
      <w:pPr>
        <w:pStyle w:val="ListNumber"/>
      </w:pPr>
      <w:r>
        <w:t>« Un péage pour riches. » Coût pour le propriétaire : véto + éventuelle assurance RC + cotisation. À Paris l'agglomération a le plus faible taux de possession (22 %), et la possession est plus forte chez les ouvriers (39 %) et les indépendants (42 %) que chez les cadres (34 %) [Facco] : l'attaque « riches » est fausse mais la barrière financière est réelle. Réponse obligatoire : kits gratuits, journées d'identification de quartier, exonérations, RC groupée à coût nul.</w:t>
      </w:r>
    </w:p>
    <w:p>
      <w:pPr>
        <w:pStyle w:val="ListNumber"/>
      </w:pPr>
      <w:r>
        <w:t>« Fichage des gens. » L'ADN de l'animal identifie son maître : toute la com doit porter sur le stockage chez le laboratoire, la Ville ne gardant que la correspondance.</w:t>
      </w:r>
    </w:p>
    <w:p>
      <w:pPr>
        <w:pStyle w:val="ListNumber"/>
      </w:pPr>
      <w:r>
        <w:t>« Les droits des chiens prennent la place des enfants. » Monceau l'a montré : la zone sans laisse a perdu la moitié de sa surface en saison 2. Réponse : horaires, encadrement par un éducateur, zones tournantes et partagées (le modèle des « zones d'usage partagé » de Barcelone, avec créneaux).</w:t>
      </w:r>
    </w:p>
    <w:p>
      <w:pPr>
        <w:pStyle w:val="ListNumber"/>
      </w:pPr>
      <w:r>
        <w:t>« Le bâton ne frappe que les honnêtes. » Voir D4.</w:t>
      </w:r>
    </w:p>
    <w:p>
      <w:pPr>
        <w:pStyle w:val="ListNumber"/>
      </w:pPr>
      <w:r>
        <w:t>« Attaque anti-chiens / anti-pauvres / anti-administration » : le dispositif doit être présenté comme un allègement de la dépense publique (800 M€ de propreté) et non comme une police des trottoirs.</w:t>
      </w:r>
    </w:p>
    <w:p>
      <w:pPr>
        <w:pStyle w:val="Heading2"/>
      </w:pPr>
      <w:r>
        <w:t>6. Positionnement : la formulation qui peut devenir majoritaire</w:t>
      </w:r>
    </w:p>
    <w:p>
      <w:r>
        <w:t>L'intérêt politique de son idée est de dissoudre la contradiction identifiée dans la première note : « droits en plus pour les chiens » est minoritaire à Paris, « la propreté payée par les négligents » est majoritaire.</w:t>
      </w:r>
    </w:p>
    <w:p>
      <w:pPr>
        <w:pStyle w:val="IntenseQuote"/>
      </w:pPr>
      <w:r>
        <w:t>Le statut relie les deux et rend les droits défendables parce qu'ils sont conditionnés.</w:t>
      </w:r>
    </w:p>
    <w:p>
      <w:pPr>
        <w:pStyle w:val="ListBullet"/>
      </w:pPr>
      <w:r>
        <w:t>« Vos impôts ne paieront plus les crottes des autres. »</w:t>
      </w:r>
    </w:p>
    <w:p>
      <w:pPr>
        <w:pStyle w:val="ListBullet"/>
      </w:pPr>
      <w:r>
        <w:t>« Un chien identifié, un maître responsable, des droits en plus. »</w:t>
      </w:r>
    </w:p>
    <w:p>
      <w:pPr>
        <w:pStyle w:val="ListBullet"/>
      </w:pPr>
      <w:r>
        <w:t>« Paris ne donnera de nouveaux droits qu'aux chiens dont les maîtres en font la preuve. »</w:t>
      </w:r>
    </w:p>
    <w:p>
      <w:r>
        <w:t>Concurrence : la droite parisienne a déjà proposé la moitié (Dati : amende à 300 €, port de sacs obligatoire, caniparcs labellisés, sentiers Paris 4 pattes) et la majorité sortante a voté à l'unanimité le vœu sur la place du chien.</w:t>
      </w:r>
    </w:p>
    <w:p>
      <w:pPr>
        <w:pStyle w:val="IntenseQuote"/>
      </w:pPr>
      <w:r>
        <w:t>Le sujet est libre, mais pas longtemps.</w:t>
      </w:r>
    </w:p>
    <w:p>
      <w:r>
        <w:t>Le créneau réaliste pour un acteur privé en 2026-2027 : porter le pilote via une association + le budget participatif, puis vendre le dispositif aux élus.</w:t>
      </w:r>
    </w:p>
    <w:p>
      <w:pPr>
        <w:pStyle w:val="Heading2"/>
      </w:pPr>
      <w:r>
        <w:t>7. Prochaines étapes (coût, délai)</w:t>
      </w:r>
    </w:p>
    <w:p>
      <w:pPr>
        <w:pStyle w:val="ListNumber"/>
      </w:pPr>
      <w:r>
        <w:t>Récupérer l'arrêté de Saint-Omer + sa FAQ (publics) et établir le sort de l'arrêté de Béziers (annulé par qui, sur quel motif) — 0 €, 1 jour. C'est LE point juridique.</w:t>
      </w:r>
    </w:p>
    <w:p>
      <w:pPr>
        <w:pStyle w:val="ListNumber"/>
      </w:pPr>
      <w:r>
        <w:t>Appeler Antagene (laboratoire de Saint-Omer) et un second labo : coût unitaire par prélèvement et par analyse à l'échelle 100 000 chiens — 0 €, 2 jours.</w:t>
      </w:r>
    </w:p>
    <w:p>
      <w:pPr>
        <w:pStyle w:val="ListNumber"/>
      </w:pPr>
      <w:r>
        <w:t>Rédiger le projet d'arrêté + le règlement du statut (2-3 pages) + la maquette du parcours propriétaire — 0 €, je peux le produire.</w:t>
      </w:r>
    </w:p>
    <w:p>
      <w:pPr>
        <w:pStyle w:val="ListNumber"/>
      </w:pPr>
      <w:r>
        <w:t>Entretien PARC.C + une réunion publique dans le 20e pour tester la formulation et la disposition à adhérer — 0 €.</w:t>
      </w:r>
    </w:p>
    <w:p>
      <w:pPr>
        <w:pStyle w:val="ListNumber"/>
      </w:pPr>
      <w:r>
        <w:t>Dossier budget participatif à la prochaine édition (2026 suspendue pour cause d'élections) pour financer un pilote d'identification : 0 € pour lui, effet de levier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