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pour un élu</w:t>
      </w:r>
    </w:p>
    <w:p>
      <w:pPr>
        <w:jc w:val="left"/>
      </w:pPr>
      <w:r>
        <w:t>Pièce du dossier « chien citoyen de Paris ».</w:t>
      </w:r>
    </w:p>
    <w:p>
      <w:r>
        <w:t>Paris, 29 septembre 2026.</w:t>
      </w:r>
    </w:p>
    <w:p>
      <w:r>
        <w:t>Document de travail du 29 septembre 2026. Rien n'a été voté.</w:t>
      </w:r>
    </w:p>
    <w:p>
      <w:pPr>
        <w:pStyle w:val="Heading1"/>
      </w:pPr>
      <w:r>
        <w:t>Note pour un élu — une page</w:t>
      </w:r>
    </w:p>
    <w:p>
      <w:pPr>
        <w:pStyle w:val="Heading2"/>
      </w:pPr>
      <w:r>
        <w:t>Sommaire</w:t>
      </w:r>
    </w:p>
    <w:p>
      <w:pPr>
        <w:pStyle w:val="ListBullet"/>
      </w:pPr>
      <w:r>
        <w:rPr>
          <w:b w:val="0"/>
        </w:rPr>
        <w:t>Le constat, en quatre lignes</w:t>
      </w:r>
    </w:p>
    <w:p>
      <w:pPr>
        <w:pStyle w:val="ListBullet"/>
      </w:pPr>
      <w:r>
        <w:rPr>
          <w:b w:val="0"/>
        </w:rPr>
        <w:t>Ce que la loi vous permet, et que personne n'a utilisé</w:t>
      </w:r>
    </w:p>
    <w:p>
      <w:pPr>
        <w:pStyle w:val="ListBullet"/>
      </w:pPr>
      <w:r>
        <w:rPr>
          <w:b w:val="0"/>
        </w:rPr>
        <w:t>Ce qui a déjà été fait ailleurs</w:t>
      </w:r>
    </w:p>
    <w:p>
      <w:pPr>
        <w:pStyle w:val="ListBullet"/>
      </w:pPr>
      <w:r>
        <w:rPr>
          <w:b w:val="0"/>
        </w:rPr>
        <w:t>La conséquence pratique, et c'est la seule chose qui compte</w:t>
      </w:r>
    </w:p>
    <w:p>
      <w:pPr>
        <w:pStyle w:val="ListBullet"/>
      </w:pPr>
      <w:r>
        <w:rPr>
          <w:b w:val="0"/>
        </w:rPr>
        <w:t>Ce que je vous demande</w:t>
      </w:r>
    </w:p>
    <w:p>
      <w:pPr>
        <w:pStyle w:val="ListBullet"/>
      </w:pPr>
      <w:r>
        <w:rPr>
          <w:b w:val="0"/>
        </w:rPr>
        <w:t>Ce que ça coûte, et qui paie</w:t>
      </w:r>
    </w:p>
    <w:p>
      <w:pPr>
        <w:pStyle w:val="ListBullet"/>
      </w:pPr>
      <w:r>
        <w:rPr>
          <w:b w:val="0"/>
        </w:rPr>
        <w:t>L'enjeu politique, dit sans détour</w:t>
      </w:r>
    </w:p>
    <w:p>
      <w:pPr>
        <w:pStyle w:val="ListBullet"/>
      </w:pPr>
      <w:r>
        <w:rPr>
          <w:b w:val="0"/>
        </w:rPr>
        <w:t>Les objections, et les réponses</w:t>
      </w:r>
    </w:p>
    <w:p>
      <w:pPr>
        <w:pStyle w:val="ListBullet"/>
      </w:pPr>
      <w:r>
        <w:rPr>
          <w:b w:val="0"/>
        </w:rPr>
        <w:t>La décision qui vous revient</w:t>
      </w:r>
    </w:p>
    <w:p>
      <w:r>
        <w:t>Objet : rendre la propreté canine mesurable et financer les droits des propriétaires de chiens sans argent public supplémentaire.</w:t>
      </w:r>
    </w:p>
    <w:p>
      <w:pPr>
        <w:pStyle w:val="Heading2"/>
      </w:pPr>
      <w:r>
        <w:t>Le constat, en quatre lignes</w:t>
      </w:r>
    </w:p>
    <w:p>
      <w:r>
        <w:t>Paris compte environ 100 000 chiens identifiés, un pour vingt et un habitants, pour 45 espaces canins et 15 000 m² cumulés [E]. La laisse est obligatoire partout ailleurs, les chiens de taille moyenne et grande sont interdits dans les bus et les tramways, et la propreté coûte environ 800 millions d'euros par an à la Ville.</w:t>
      </w:r>
    </w:p>
    <w:p>
      <w:r>
        <w:t>En octobre 2025, le Conseil de Paris a voté à l'unanimité un vœu pour plus de place pour les chiens dans les espaces verts. Depuis, rien n'a été mis en œuvre, et toutes les listes avaient un volet chien en mars 2026.</w:t>
      </w:r>
    </w:p>
    <w:p>
      <w:pPr>
        <w:pStyle w:val="Heading2"/>
      </w:pPr>
      <w:r>
        <w:t>Ce que la loi vous permet, et que personne n'a utilisé</w:t>
      </w:r>
    </w:p>
    <w:p>
      <w:r>
        <w:t>Le maire de Paris est chargé de la police municipale en matière de salubrité sur la voie publique (CGCT, article L. 2512-13, II, 1°). C'est une base plus explicite que celle du droit commun utilisée par Béziers ou Saint-Omer.</w:t>
      </w:r>
    </w:p>
    <w:p>
      <w:r>
        <w:t>Un arrêté d'expérimentation borné dans le temps et dans l'espace, avec identification gratuite et phase volontaire préalable, est donc à votre main, sans loi nouvelle.</w:t>
      </w:r>
    </w:p>
    <w:p>
      <w:pPr>
        <w:pStyle w:val="Heading2"/>
      </w:pPr>
      <w:r>
        <w:t>Ce qui a déjà été fait ailleurs</w:t>
      </w:r>
    </w:p>
    <w:p>
      <w:r>
        <w:rPr>
          <w:b/>
        </w:rPr>
        <w:t>Saint-Omer</w:t>
      </w:r>
      <w:r>
        <w:t>, arrêté de juin 2025 validé par le contrôle de légalité :</w:t>
      </w:r>
    </w:p>
    <w:p>
      <w:pPr>
        <w:pStyle w:val="ListBullet"/>
      </w:pPr>
      <w:r>
        <w:t>identification génétique obligatoire dans un périmètre du centre-ville,</w:t>
      </w:r>
    </w:p>
    <w:p>
      <w:pPr>
        <w:pStyle w:val="ListBullet"/>
      </w:pPr>
      <w:r>
        <w:t>prélèvement sur les déjections abandonnées,</w:t>
      </w:r>
    </w:p>
    <w:p>
      <w:pPr>
        <w:pStyle w:val="ListBullet"/>
      </w:pPr>
      <w:r>
        <w:t>868 chiens fichés en décembre 2025,</w:t>
      </w:r>
    </w:p>
    <w:p>
      <w:pPr>
        <w:pStyle w:val="ListBullet"/>
      </w:pPr>
      <w:r>
        <w:t>60 % de déjections en moins en six mois,</w:t>
      </w:r>
    </w:p>
    <w:p>
      <w:pPr>
        <w:pStyle w:val="ListBullet"/>
      </w:pPr>
      <w:r>
        <w:t>extension à tout le linéaire urbain en août 2026.</w:t>
      </w:r>
    </w:p>
    <w:p>
      <w:r>
        <w:t>Le marché de laboratoire coûte 40 000 € sur deux ans, soit 2 % du budget propreté de la ville.</w:t>
      </w:r>
    </w:p>
    <w:p>
      <w:r>
        <w:t>Béziers a obtenu, selon la mairie, 85 % de baisse, mais son arrêté a été annulé le 6 mai 2025 par le tribunal administratif : trois motifs, tous procéduraux. Le juge a reproché :</w:t>
      </w:r>
    </w:p>
    <w:p>
      <w:pPr>
        <w:pStyle w:val="ListBullet"/>
      </w:pPr>
      <w:r>
        <w:t>le manque de preuves au dossier,</w:t>
      </w:r>
    </w:p>
    <w:p>
      <w:pPr>
        <w:pStyle w:val="ListBullet"/>
      </w:pPr>
      <w:r>
        <w:t>l'absence de démonstration que la puce ou le tatouage ne suffisaient pas,</w:t>
      </w:r>
    </w:p>
    <w:p>
      <w:pPr>
        <w:pStyle w:val="ListBullet"/>
      </w:pPr>
      <w:r>
        <w:t>et le caractère disproportionné de la mesure.</w:t>
      </w:r>
    </w:p>
    <w:p>
      <w:pPr>
        <w:pStyle w:val="Heading2"/>
      </w:pPr>
      <w:r>
        <w:t>La conséquence pratique, et c'est la seule chose qui compte</w:t>
      </w:r>
    </w:p>
    <w:p>
      <w:r>
        <w:t>Le dispositif tient si le dossier de preuve est constitué avant l'arrêté :</w:t>
      </w:r>
    </w:p>
    <w:p>
      <w:pPr>
        <w:pStyle w:val="ListBullet"/>
      </w:pPr>
      <w:r>
        <w:t>comptage contradictoire des déjections avant toute réglementation,</w:t>
      </w:r>
    </w:p>
    <w:p>
      <w:pPr>
        <w:pStyle w:val="ListBullet"/>
      </w:pPr>
      <w:r>
        <w:t>démonstration écrite de l'insuffisance de l'identification classique,</w:t>
      </w:r>
    </w:p>
    <w:p>
      <w:pPr>
        <w:pStyle w:val="ListBullet"/>
      </w:pPr>
      <w:r>
        <w:t>périmètre réduit,</w:t>
      </w:r>
    </w:p>
    <w:p>
      <w:pPr>
        <w:pStyle w:val="ListBullet"/>
      </w:pPr>
      <w:r>
        <w:t>durée bornée,</w:t>
      </w:r>
    </w:p>
    <w:p>
      <w:pPr>
        <w:pStyle w:val="ListBullet"/>
      </w:pPr>
      <w:r>
        <w:t>identification gratuite,</w:t>
      </w:r>
    </w:p>
    <w:p>
      <w:pPr>
        <w:pStyle w:val="ListBullet"/>
      </w:pPr>
      <w:r>
        <w:t>72 heures pour se mettre en règle.</w:t>
      </w:r>
    </w:p>
    <w:p>
      <w:r>
        <w:t>Nous avons le protocole de comptage et le projet d'arrêté rédigés, article par article.</w:t>
      </w:r>
    </w:p>
    <w:p>
      <w:pPr>
        <w:pStyle w:val="Heading2"/>
      </w:pPr>
      <w:r>
        <w:t>Ce que je vous demande</w:t>
      </w:r>
    </w:p>
    <w:p>
      <w:r>
        <w:t>Un mandat d'expérimentation de dix-huit mois sur un arrondissement, avec trois engagements :</w:t>
      </w:r>
    </w:p>
    <w:p>
      <w:pPr>
        <w:pStyle w:val="ListBullet"/>
      </w:pPr>
      <w:r>
        <w:t>gratuité de l'identification,</w:t>
      </w:r>
    </w:p>
    <w:p>
      <w:pPr>
        <w:pStyle w:val="ListBullet"/>
      </w:pPr>
      <w:r>
        <w:t>comptage avant et après publié,</w:t>
      </w:r>
    </w:p>
    <w:p>
      <w:pPr>
        <w:pStyle w:val="ListBullet"/>
      </w:pPr>
      <w:r>
        <w:t>et évaluation présentée au conseil d'arrondissement avant toute extension.</w:t>
      </w:r>
    </w:p>
    <w:p>
      <w:pPr>
        <w:pStyle w:val="Heading2"/>
      </w:pPr>
      <w:r>
        <w:t>Ce que ça coûte, et qui paie</w:t>
      </w:r>
    </w:p>
    <w:p>
      <w:pPr>
        <w:pStyle w:val="ListBullet"/>
      </w:pPr>
      <w:r>
        <w:t>Pilote sur deux arrondissements, deux ans, identification gratuite incluse : 400 000 à 700 000 € au total [E], soit moins de 1 % du budget annuel de propreté.</w:t>
      </w:r>
    </w:p>
    <w:p>
      <w:pPr>
        <w:pStyle w:val="ListBullet"/>
      </w:pPr>
      <w:r>
        <w:t>Le fonctionnement courant se compte en dizaines de milliers d'euros par an, contre une baisse constatée de 60 % des déjections là où le dispositif est en place.</w:t>
      </w:r>
    </w:p>
    <w:p>
      <w:pPr>
        <w:pStyle w:val="ListBullet"/>
      </w:pPr>
      <w:r>
        <w:t>Les amendes ne financent rien : à Saint-Omer, trois déjections ont pu être attribuées. Ne pas vendre le dispositif comme une recette.</w:t>
      </w:r>
    </w:p>
    <w:p>
      <w:pPr>
        <w:pStyle w:val="ListBullet"/>
      </w:pPr>
      <w:r>
        <w:t>En face, un fonds alimenté par une cotisation volontaire de 20 € par chien et par an, des commissions sur un contrat d'assurance de groupe et du mécénat : 158 000 € la première année, 826 000 € la troisième, 2,6 millions la sixième [E]. De quoi financer les espaces canins sans lever d'impôt supplémentaire. Le montage recommandé passe par un fonds de dotation, pas par le budget municipal, pour éviter tout conflit d'intérêts avec les assureurs et rester hors commande publique.</w:t>
      </w:r>
    </w:p>
    <w:p>
      <w:pPr>
        <w:pStyle w:val="Heading2"/>
      </w:pPr>
      <w:r>
        <w:t>L'enjeu politique, dit sans détour</w:t>
      </w:r>
    </w:p>
    <w:p>
      <w:r>
        <w:t>100 000 chiens, ce sont à peu près 145 000 à 160 000 électeurs, un dixième du corps électoral parisien, pour un seuil d'existence au Conseil de Paris de 5 % des voix, environ 41 000 suffrages.</w:t>
      </w:r>
    </w:p>
    <w:p>
      <w:r>
        <w:t>Mesures à l'appui, la droite parisienne a proposé la moitié du bâton en mars 2026 (amende à 300 €, sentiers, caniparcs labellisés) sans proposer le contrat qui le rend tenable.</w:t>
      </w:r>
    </w:p>
    <w:p>
      <w:pPr>
        <w:pStyle w:val="IntenseQuote"/>
      </w:pPr>
      <w:r>
        <w:t>Le sujet est libre, et il ne le restera pas longtemps.</w:t>
      </w:r>
    </w:p>
    <w:p>
      <w:pPr>
        <w:pStyle w:val="Heading2"/>
      </w:pPr>
      <w:r>
        <w:t>Les objections, et les réponses</w:t>
      </w:r>
    </w:p>
    <w:p>
      <w:pPr>
        <w:pStyle w:val="ListBullet"/>
      </w:pPr>
      <w:r>
        <w:t xml:space="preserve">« </w:t>
      </w:r>
      <w:r>
        <w:rPr>
          <w:b/>
        </w:rPr>
        <w:t>C'est un péage pour riches</w:t>
      </w:r>
      <w:r>
        <w:t xml:space="preserve"> » : sur la cible, c'est faux, 39 % des ouvriers et 42 % des indépendants ont un chien contre 34 % des cadres ; sur la barrière financière, c'est réel, d'où la gratuité, les journées de quartier et les exonérations.</w:t>
      </w:r>
    </w:p>
    <w:p>
      <w:pPr>
        <w:pStyle w:val="ListBullet"/>
      </w:pPr>
      <w:r>
        <w:t xml:space="preserve">« </w:t>
      </w:r>
      <w:r>
        <w:rPr>
          <w:b/>
        </w:rPr>
        <w:t>C'est du fichage</w:t>
      </w:r>
      <w:r>
        <w:t xml:space="preserve"> » : la base génétique reste au laboratoire, la Ville ne détient que la correspondance prélèvement-propriétaire, la durée est bornée, pas de vidéosurveillance permanente.</w:t>
      </w:r>
    </w:p>
    <w:p>
      <w:pPr>
        <w:pStyle w:val="ListBullet"/>
      </w:pPr>
      <w:r>
        <w:t xml:space="preserve">« </w:t>
      </w:r>
      <w:r>
        <w:rPr>
          <w:b/>
        </w:rPr>
        <w:t>Ça ne frappe que les honnêtes</w:t>
      </w:r>
      <w:r>
        <w:t xml:space="preserve"> » : vrai sous 50 % de couverture, donc la campagne d'identification précède l'annonce des sanctions.</w:t>
      </w:r>
    </w:p>
    <w:p>
      <w:pPr>
        <w:pStyle w:val="ListBullet"/>
      </w:pPr>
      <w:r>
        <w:t xml:space="preserve">« </w:t>
      </w:r>
      <w:r>
        <w:rPr>
          <w:b/>
        </w:rPr>
        <w:t>Les chiens prennent la place des enfants</w:t>
      </w:r>
      <w:r>
        <w:t xml:space="preserve"> » : Monceau a réduit la zone de moitié en saison 2 et étendu les horaires ; c'est l'encadrement qui achète la tolérance, pas la surface.</w:t>
      </w:r>
    </w:p>
    <w:p>
      <w:pPr>
        <w:pStyle w:val="Heading2"/>
      </w:pPr>
      <w:r>
        <w:t>La décision qui vous revient</w:t>
      </w:r>
    </w:p>
    <w:p>
      <w:r>
        <w:t>Trois choix, et je les recommande ainsi :</w:t>
      </w:r>
    </w:p>
    <w:p>
      <w:pPr>
        <w:pStyle w:val="ListBullet"/>
      </w:pPr>
      <w:r>
        <w:t>périmètre pilote sur le 13e arrondissement (des volontaires y comptent déjà, 43 sièges au conseil d'arrondissement, majorité stable depuis mars 2026) plutôt que sur un arrondissement central,</w:t>
      </w:r>
    </w:p>
    <w:p>
      <w:pPr>
        <w:pStyle w:val="ListBullet"/>
      </w:pPr>
      <w:r>
        <w:t>obligation sur le périmètre et adhésion volontaire pour les droits,</w:t>
      </w:r>
    </w:p>
    <w:p>
      <w:pPr>
        <w:pStyle w:val="ListBullet"/>
      </w:pPr>
      <w:r>
        <w:t>gratuité de l'identification compensée si une cotisation est introduite.</w:t>
      </w:r>
    </w:p>
    <w:p>
      <w:r>
        <w:t>Pièces jointes :</w:t>
      </w:r>
    </w:p>
    <w:p>
      <w:pPr>
        <w:pStyle w:val="ListBullet"/>
      </w:pPr>
      <w:r>
        <w:t>projet d'arrêté et règlement du statut,</w:t>
      </w:r>
    </w:p>
    <w:p>
      <w:pPr>
        <w:pStyle w:val="ListBullet"/>
      </w:pPr>
      <w:r>
        <w:t>note juridique,</w:t>
      </w:r>
    </w:p>
    <w:p>
      <w:pPr>
        <w:pStyle w:val="ListBullet"/>
      </w:pPr>
      <w:r>
        <w:t>protocole de comptage,</w:t>
      </w:r>
    </w:p>
    <w:p>
      <w:pPr>
        <w:pStyle w:val="ListBullet"/>
      </w:pPr>
      <w:r>
        <w:t>chiffrage.</w:t>
      </w:r>
    </w:p>
    <w:p>
      <w:r>
        <w:t>Tout est dans /root/chiens-paris/, et chaque chiffre de cette note a été vérifié sur source, avec les URL, dans AUDIT-SOURCES.md.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