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Rapport complet et chiffrage</w:t>
      </w:r>
    </w:p>
    <w:p>
      <w:pPr>
        <w:jc w:val="left"/>
      </w:pPr>
      <w:r>
        <w:t>Pièce du dossier « chien citoyen de Paris ».</w:t>
      </w:r>
    </w:p>
    <w:p>
      <w:r>
        <w:t>Paris, 29 septembre 2026.</w:t>
      </w:r>
    </w:p>
    <w:p>
      <w:r>
        <w:t>Document de travail du 29 septembre 2026. Rien n'a été voté.</w:t>
      </w:r>
    </w:p>
    <w:p>
      <w:pPr>
        <w:pStyle w:val="Heading1"/>
      </w:pPr>
      <w:r>
        <w:t>RAPPORT — Un projet politique « chiens de Paris » : statut du chien citoyen, registre ADN, droits et chiffrage</w:t>
      </w:r>
    </w:p>
    <w:p>
      <w:pPr>
        <w:pStyle w:val="Heading2"/>
      </w:pPr>
      <w:r>
        <w:t>Sommaire</w:t>
      </w:r>
    </w:p>
    <w:p>
      <w:pPr>
        <w:pStyle w:val="ListBullet"/>
      </w:pPr>
      <w:r>
        <w:rPr>
          <w:b w:val="0"/>
        </w:rPr>
        <w:t>1. Résumé exécutif</w:t>
      </w:r>
    </w:p>
    <w:p>
      <w:pPr>
        <w:pStyle w:val="ListBullet"/>
      </w:pPr>
      <w:r>
        <w:rPr>
          <w:b w:val="0"/>
        </w:rPr>
        <w:t>2. Le problème, en faits</w:t>
      </w:r>
    </w:p>
    <w:p>
      <w:pPr>
        <w:pStyle w:val="ListBullet"/>
      </w:pPr>
      <w:r>
        <w:rPr>
          <w:b w:val="0"/>
        </w:rPr>
        <w:t>3. La cible : 100 000 chiens valent-ils un électorat ?</w:t>
      </w:r>
    </w:p>
    <w:p>
      <w:pPr>
        <w:pStyle w:val="ListBullet"/>
      </w:pPr>
      <w:r>
        <w:rPr>
          <w:b w:val="0"/>
        </w:rPr>
        <w:t>4. Le contexte politique : le sujet est déjà occupé</w:t>
      </w:r>
    </w:p>
    <w:p>
      <w:pPr>
        <w:pStyle w:val="ListBullet"/>
      </w:pPr>
      <w:r>
        <w:rPr>
          <w:b w:val="0"/>
        </w:rPr>
        <w:t>5. La faisabilité juridique</w:t>
      </w:r>
    </w:p>
    <w:p>
      <w:pPr>
        <w:pStyle w:val="ListBullet2"/>
      </w:pPr>
      <w:r>
        <w:rPr>
          <w:b w:val="0"/>
        </w:rPr>
        <w:t>5.1 Ce qui s'est passé à Béziers (et ce qu'il faut en retenir)</w:t>
      </w:r>
    </w:p>
    <w:p>
      <w:pPr>
        <w:pStyle w:val="ListBullet2"/>
      </w:pPr>
      <w:r>
        <w:rPr>
          <w:b w:val="0"/>
        </w:rPr>
        <w:t>5.2 Pourquoi Paris est mieux placé</w:t>
      </w:r>
    </w:p>
    <w:p>
      <w:pPr>
        <w:pStyle w:val="ListBullet2"/>
      </w:pPr>
      <w:r>
        <w:rPr>
          <w:b w:val="0"/>
        </w:rPr>
        <w:t>5.3 La recette pour un arrêté qui survit à un recours</w:t>
      </w:r>
    </w:p>
    <w:p>
      <w:pPr>
        <w:pStyle w:val="ListBullet"/>
      </w:pPr>
      <w:r>
        <w:rPr>
          <w:b w:val="0"/>
        </w:rPr>
        <w:t>6. Le dispositif : architecture du statut</w:t>
      </w:r>
    </w:p>
    <w:p>
      <w:pPr>
        <w:pStyle w:val="ListBullet2"/>
      </w:pPr>
      <w:r>
        <w:rPr>
          <w:b w:val="0"/>
        </w:rPr>
        <w:t>6.1 Registre et identification</w:t>
      </w:r>
    </w:p>
    <w:p>
      <w:pPr>
        <w:pStyle w:val="ListBullet2"/>
      </w:pPr>
      <w:r>
        <w:rPr>
          <w:b w:val="0"/>
        </w:rPr>
        <w:t>6.2 Bâton</w:t>
      </w:r>
    </w:p>
    <w:p>
      <w:pPr>
        <w:pStyle w:val="ListBullet2"/>
      </w:pPr>
      <w:r>
        <w:rPr>
          <w:b w:val="0"/>
        </w:rPr>
        <w:t>6.3 Carotte</w:t>
      </w:r>
    </w:p>
    <w:p>
      <w:pPr>
        <w:pStyle w:val="ListBullet2"/>
      </w:pPr>
      <w:r>
        <w:rPr>
          <w:b w:val="0"/>
        </w:rPr>
        <w:t>6.4 Références étrangères du mécanisme carotte/bâton</w:t>
      </w:r>
    </w:p>
    <w:p>
      <w:pPr>
        <w:pStyle w:val="ListBullet"/>
      </w:pPr>
      <w:r>
        <w:rPr>
          <w:b w:val="0"/>
        </w:rPr>
        <w:t>7. CHIFFRAGE — le coût d'analyser une crotte sur un trottoir</w:t>
      </w:r>
    </w:p>
    <w:p>
      <w:pPr>
        <w:pStyle w:val="ListBullet2"/>
      </w:pPr>
      <w:r>
        <w:rPr>
          <w:b w:val="0"/>
        </w:rPr>
        <w:t>7.0 L'essentiel, en un tableau</w:t>
      </w:r>
    </w:p>
    <w:p>
      <w:pPr>
        <w:pStyle w:val="ListBullet2"/>
      </w:pPr>
      <w:r>
        <w:rPr>
          <w:b w:val="0"/>
        </w:rPr>
        <w:t>7.1 Le chiffre réel dont on dispose</w:t>
      </w:r>
    </w:p>
    <w:p>
      <w:pPr>
        <w:pStyle w:val="ListBullet2"/>
      </w:pPr>
      <w:r>
        <w:t>[7.2 Décomposition du coût unitaire [E]](#72-décomposition-du-coût-unitaire-e)</w:t>
      </w:r>
    </w:p>
    <w:p>
      <w:pPr>
        <w:pStyle w:val="ListBullet2"/>
      </w:pPr>
      <w:r>
        <w:rPr>
          <w:b w:val="0"/>
        </w:rPr>
        <w:t>7.3 Coût complet, frais fixes inclus</w:t>
      </w:r>
    </w:p>
    <w:p>
      <w:pPr>
        <w:pStyle w:val="ListBullet2"/>
      </w:pPr>
      <w:r>
        <w:rPr>
          <w:b w:val="0"/>
        </w:rPr>
        <w:t>7.4 Le chiffre qui compte vraiment : le coût par identification aboutie</w:t>
      </w:r>
    </w:p>
    <w:p>
      <w:pPr>
        <w:pStyle w:val="ListBullet2"/>
      </w:pPr>
      <w:r>
        <w:rPr>
          <w:b w:val="0"/>
        </w:rPr>
        <w:t>7.5 Autofinancement : la réponse honnête</w:t>
      </w:r>
    </w:p>
    <w:p>
      <w:pPr>
        <w:pStyle w:val="ListBullet2"/>
      </w:pPr>
      <w:r>
        <w:rPr>
          <w:b w:val="0"/>
        </w:rPr>
        <w:t>7.6 Coût de la campagne d'identification (l'autre poste)</w:t>
      </w:r>
    </w:p>
    <w:p>
      <w:pPr>
        <w:pStyle w:val="ListBullet2"/>
      </w:pPr>
      <w:r>
        <w:rPr>
          <w:b w:val="0"/>
        </w:rPr>
        <w:t>7.7 Coût du volet « droits » (la carotte)</w:t>
      </w:r>
    </w:p>
    <w:p>
      <w:pPr>
        <w:pStyle w:val="ListBullet2"/>
      </w:pPr>
      <w:r>
        <w:rPr>
          <w:b w:val="0"/>
        </w:rPr>
        <w:t>7.8 Total, en une ligne</w:t>
      </w:r>
    </w:p>
    <w:p>
      <w:pPr>
        <w:pStyle w:val="ListBullet"/>
      </w:pPr>
      <w:r>
        <w:rPr>
          <w:b w:val="0"/>
        </w:rPr>
        <w:t>8. Les cinq décisions qui sont le projet politique</w:t>
      </w:r>
    </w:p>
    <w:p>
      <w:pPr>
        <w:pStyle w:val="ListBullet"/>
      </w:pPr>
      <w:r>
        <w:rPr>
          <w:b w:val="0"/>
        </w:rPr>
        <w:t>9. Objections à anticiper</w:t>
      </w:r>
    </w:p>
    <w:p>
      <w:pPr>
        <w:pStyle w:val="ListBullet"/>
      </w:pPr>
      <w:r>
        <w:rPr>
          <w:b w:val="0"/>
        </w:rPr>
        <w:t>10. Positionnement et formulation</w:t>
      </w:r>
    </w:p>
    <w:p>
      <w:pPr>
        <w:pStyle w:val="ListBullet"/>
      </w:pPr>
      <w:r>
        <w:rPr>
          <w:b w:val="0"/>
        </w:rPr>
        <w:t>11. Feuille de route</w:t>
      </w:r>
    </w:p>
    <w:p>
      <w:pPr>
        <w:pStyle w:val="ListBullet"/>
      </w:pPr>
      <w:r>
        <w:rPr>
          <w:b w:val="0"/>
        </w:rPr>
        <w:t>11 bis. Tableau de bord des chiffres clés</w:t>
      </w:r>
    </w:p>
    <w:p>
      <w:pPr>
        <w:pStyle w:val="ListBullet"/>
      </w:pPr>
      <w:r>
        <w:rPr>
          <w:b w:val="0"/>
        </w:rPr>
        <w:t>12. Partenariats à l'échelle de Paris, et ce qu'un dispositif qui réussit peut financer</w:t>
      </w:r>
    </w:p>
    <w:p>
      <w:pPr>
        <w:pStyle w:val="ListBullet2"/>
      </w:pPr>
      <w:r>
        <w:rPr>
          <w:b w:val="0"/>
        </w:rPr>
        <w:t>12.1 Les huit familles de partenaires</w:t>
      </w:r>
    </w:p>
    <w:p>
      <w:pPr>
        <w:pStyle w:val="ListBullet2"/>
      </w:pPr>
      <w:r>
        <w:rPr>
          <w:b w:val="0"/>
        </w:rPr>
        <w:t>12.2 Ce qu'un dispositif qui réussit peut financer, et avec quel argent</w:t>
      </w:r>
    </w:p>
    <w:p>
      <w:pPr>
        <w:pStyle w:val="ListBullet2"/>
      </w:pPr>
      <w:r>
        <w:rPr>
          <w:b w:val="0"/>
        </w:rPr>
        <w:t>12.3 Qui paie, qui gagne, quel risque</w:t>
      </w:r>
    </w:p>
    <w:p>
      <w:pPr>
        <w:pStyle w:val="ListBullet2"/>
      </w:pPr>
      <w:r>
        <w:rPr>
          <w:b w:val="0"/>
        </w:rPr>
        <w:t>12.4 Le véhicule de financement et sa gouvernance</w:t>
      </w:r>
    </w:p>
    <w:p>
      <w:pPr>
        <w:pStyle w:val="ListBullet2"/>
      </w:pPr>
      <w:r>
        <w:rPr>
          <w:b w:val="0"/>
        </w:rPr>
        <w:t>12.5 Les deux partenariats à ouvrir en premier (coût : zéro)</w:t>
      </w:r>
    </w:p>
    <w:p>
      <w:pPr>
        <w:pStyle w:val="ListBullet2"/>
      </w:pPr>
      <w:r>
        <w:rPr>
          <w:b w:val="0"/>
        </w:rPr>
        <w:t>12.6 Synthèse, par ordre d'intérêt réel</w:t>
      </w:r>
    </w:p>
    <w:p>
      <w:pPr>
        <w:pStyle w:val="ListBullet"/>
      </w:pPr>
      <w:r>
        <w:rPr>
          <w:b w:val="0"/>
        </w:rPr>
        <w:t>Annexe A — Projet d'arrêté et règlement du statut</w:t>
      </w:r>
    </w:p>
    <w:p>
      <w:pPr>
        <w:pStyle w:val="ListBullet"/>
      </w:pPr>
      <w:r>
        <w:rPr>
          <w:b w:val="0"/>
        </w:rPr>
        <w:t>Annexe B — Cahier des charges de consultation des laboratoires</w:t>
      </w:r>
    </w:p>
    <w:p>
      <w:pPr>
        <w:pStyle w:val="ListBullet"/>
      </w:pPr>
      <w:r>
        <w:rPr>
          <w:b w:val="0"/>
        </w:rPr>
        <w:t>Annexe C — Protocole de comptage citoyen des déjections (pièce manquante à Béziers)</w:t>
      </w:r>
    </w:p>
    <w:p>
      <w:pPr>
        <w:pStyle w:val="ListBullet"/>
      </w:pPr>
      <w:r>
        <w:rPr>
          <w:b w:val="0"/>
        </w:rPr>
        <w:t>Annexe D — Sources (inventaire par organisme, sans URL ; les URL vérifiées sont à l'annexe E)</w:t>
      </w:r>
    </w:p>
    <w:p>
      <w:pPr>
        <w:pStyle w:val="ListBullet"/>
      </w:pPr>
      <w:r>
        <w:rPr>
          <w:b w:val="0"/>
        </w:rPr>
        <w:t>Annexe E — Sources vérifiées, avec URL</w:t>
      </w:r>
    </w:p>
    <w:p>
      <w:r>
        <w:t>Version du 29 septembre 2026. Rédigé pour Pierre Tsia.</w:t>
      </w:r>
    </w:p>
    <w:p>
      <w:r>
        <w:t>[E] = estimation ou calcul de l'auteur. Tout le reste est sourcé (sources en annexe D).</w:t>
      </w:r>
    </w:p>
    <w:p/>
    <w:p>
      <w:pPr>
        <w:pStyle w:val="Heading2"/>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2"/>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2"/>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2"/>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2"/>
      </w:pPr>
      <w:r>
        <w:t>5. La faisabilité juridique</w:t>
      </w:r>
    </w:p>
    <w:p>
      <w:pPr>
        <w:pStyle w:val="Heading3"/>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3"/>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3"/>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2"/>
      </w:pPr>
      <w:r>
        <w:t>6. Le dispositif : architecture du statut</w:t>
      </w:r>
    </w:p>
    <w:p>
      <w:pPr>
        <w:pStyle w:val="Heading3"/>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3"/>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3"/>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3"/>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2"/>
      </w:pPr>
      <w:r>
        <w:t>7. CHIFFRAGE — le coût d'analyser une crotte sur un trottoir</w:t>
      </w:r>
    </w:p>
    <w:p>
      <w:pPr>
        <w:pStyle w:val="Heading3"/>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3"/>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3"/>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3"/>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3"/>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3"/>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3"/>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(cas de référence 20e + 10e ; le pilote retenu est le 13e),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3"/>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3"/>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2"/>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w:t>
      </w:r>
      <w:r>
        <w:rPr>
          <w:b/>
        </w:rPr>
        <w:t>Arbitrée le 29/09/2026 : le 13e.</w:t>
      </w:r>
      <w:r>
        <w:t xml:space="preserve"> Le critère décisif est le nombre de volontaires qui comptent réellement — ils sont tous dans le 13e — et l'arrondissement tient le reste : environ 180 000 habitants, 116 196 inscrits, 43 sièges au conseil d'arrondissement, majorité stable (maire élu au premier tour en 2026 avec 51,52 %), 62 espaces verts ouverts au public, et la petite ceinture à la Poterne des Peupliers comme lieu où la laisse n'est déjà plus respectée. Les alternatives restent le 20e (6 133 chiens identifiés, 45 sièges) et le 10e (3 580 chiens, 19 sièges) ; le 8e a l'infrastructure (Monceau) mais peu de chiens. Le nombre de chiens identifiés dans le 13e reste à obtenir (demande écrite à la Ville et à la profession vétérinaire).</w:t>
      </w:r>
    </w:p>
    <w:p/>
    <w:p>
      <w:pPr>
        <w:pStyle w:val="Heading2"/>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2"/>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2"/>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13e,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2"/>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2"/>
      </w:pPr>
      <w:r>
        <w:t>12. Partenariats à l'échelle de Paris, et ce qu'un dispositif qui réussit peut financer</w:t>
      </w:r>
    </w:p>
    <w:p>
      <w:pPr>
        <w:pStyle w:val="Heading3"/>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3"/>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(cas de référence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3"/>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3"/>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3"/>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3"/>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2"/>
      </w:pPr>
      <w:r>
        <w:t>Annexe A — Projet d'arrêté et règlement du statut</w:t>
      </w:r>
    </w:p>
    <w:p>
      <w:r>
        <w:t>Voir le document complet : /root/chiens-paris/PROJET-ARRETE-STATUT-CHIEN-CITOYEN.md (10 articles d'arrêté, 6 articles de règlement, parcours du détenteur en 5 étapes, maquette de données RGPD).</w:t>
      </w:r>
    </w:p>
    <w:p>
      <w:pPr>
        <w:pStyle w:val="Heading2"/>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2"/>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13e,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2"/>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2"/>
      </w:pPr>
      <w:r>
        <w:t>Annexe E — Sources vérifiées, avec URL</w:t>
      </w:r>
    </w:p>
    <w:p>
      <w:r>
        <w:t>Vérification du 29 septembre 2026. Toutes ces pages ont été ouvertes ; les citations exactes sont dans l'audit séparé (/root/chiens-paris/AUDIT-SOURCES.md).</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