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technique pour un collaborateur de cabinet</w:t>
      </w:r>
    </w:p>
    <w:p>
      <w:pPr>
        <w:jc w:val="left"/>
      </w:pPr>
      <w:r>
        <w:t>Pièce du dossier « chien citoyen de Paris ».</w:t>
      </w:r>
    </w:p>
    <w:p>
      <w:r>
        <w:t>Paris, 29 septembre 2026.</w:t>
      </w:r>
    </w:p>
    <w:p>
      <w:r>
        <w:t>Document de travail du 29 septembre 2026. Rien n'a été voté.</w:t>
      </w:r>
    </w:p>
    <w:p>
      <w:pPr>
        <w:pStyle w:val="Heading1"/>
      </w:pPr>
      <w:r>
        <w:t>Note technique à l'attention d'un collaborateur de cabinet</w:t>
      </w:r>
    </w:p>
    <w:p>
      <w:pPr>
        <w:pStyle w:val="Heading2"/>
      </w:pPr>
      <w:r>
        <w:t>Sommaire</w:t>
      </w:r>
    </w:p>
    <w:p>
      <w:pPr>
        <w:pStyle w:val="ListBullet"/>
      </w:pPr>
      <w:r>
        <w:rPr>
          <w:b w:val="0"/>
        </w:rPr>
        <w:t>1. Base légale, article par article</w:t>
      </w:r>
    </w:p>
    <w:p>
      <w:pPr>
        <w:pStyle w:val="ListBullet"/>
      </w:pPr>
      <w:r>
        <w:rPr>
          <w:b w:val="0"/>
        </w:rPr>
        <w:t>2. Le point juridique qu'il faut faire trancher d'abord</w:t>
      </w:r>
    </w:p>
    <w:p>
      <w:pPr>
        <w:pStyle w:val="ListBullet"/>
      </w:pPr>
      <w:r>
        <w:rPr>
          <w:b w:val="0"/>
        </w:rPr>
        <w:t>3. La chaîne d'actes à produire</w:t>
      </w:r>
    </w:p>
    <w:p>
      <w:pPr>
        <w:pStyle w:val="ListBullet"/>
      </w:pPr>
      <w:r>
        <w:rPr>
          <w:b w:val="0"/>
        </w:rPr>
        <w:t>4. Régime des données, ce que l'arrêté doit dire</w:t>
      </w:r>
    </w:p>
    <w:p>
      <w:pPr>
        <w:pStyle w:val="ListBullet"/>
      </w:pPr>
      <w:r>
        <w:rPr>
          <w:b w:val="0"/>
        </w:rPr>
        <w:t>5. Montage financier et comptable</w:t>
      </w:r>
    </w:p>
    <w:p>
      <w:pPr>
        <w:pStyle w:val="ListBullet"/>
      </w:pPr>
      <w:r>
        <w:rPr>
          <w:b w:val="0"/>
        </w:rPr>
        <w:t>6. Partenariats à contractualiser</w:t>
      </w:r>
    </w:p>
    <w:p>
      <w:pPr>
        <w:pStyle w:val="ListBullet"/>
      </w:pPr>
      <w:r>
        <w:rPr>
          <w:b w:val="0"/>
        </w:rPr>
        <w:t>7. Risques contentieux, par ordre de vraisemblance</w:t>
      </w:r>
    </w:p>
    <w:p>
      <w:pPr>
        <w:pStyle w:val="ListBullet"/>
      </w:pPr>
      <w:r>
        <w:rPr>
          <w:b w:val="0"/>
        </w:rPr>
        <w:t>8. Les trois arbitrages à demander au cabinet</w:t>
      </w:r>
    </w:p>
    <w:p>
      <w:pPr>
        <w:pStyle w:val="ListBullet"/>
      </w:pPr>
      <w:r>
        <w:rPr>
          <w:b w:val="0"/>
        </w:rPr>
        <w:t>9. Points à confirmer avant rédaction</w:t>
      </w:r>
    </w:p>
    <w:p>
      <w:r>
        <w:rPr>
          <w:b/>
        </w:rPr>
        <w:t>Objet :</w:t>
      </w:r>
      <w:r>
        <w:t xml:space="preserve"> expérimentation d'une identification génétique canine obligatoire dans un périmètre parisien, adossée à un statut donnant des droits.</w:t>
      </w:r>
    </w:p>
    <w:p>
      <w:r>
        <w:rPr>
          <w:b/>
        </w:rPr>
        <w:t>Nature de l'acte envisagé :</w:t>
      </w:r>
      <w:r>
        <w:t xml:space="preserve"> arrêté du maire de Paris portant expérimentation de police municipale, d'une durée bornée, complété par un règlement du statut hors arrêté.</w:t>
      </w:r>
    </w:p>
    <w:p>
      <w:r>
        <w:rPr>
          <w:b/>
        </w:rPr>
        <w:t>Ce que cette note contient :</w:t>
      </w:r>
    </w:p>
    <w:p>
      <w:pPr>
        <w:pStyle w:val="ListBullet"/>
      </w:pPr>
      <w:r>
        <w:t>la base légale article par article,</w:t>
      </w:r>
    </w:p>
    <w:p>
      <w:pPr>
        <w:pStyle w:val="ListBullet"/>
      </w:pPr>
      <w:r>
        <w:t>la chaîne d'actes à produire,</w:t>
      </w:r>
    </w:p>
    <w:p>
      <w:pPr>
        <w:pStyle w:val="ListBullet"/>
      </w:pPr>
      <w:r>
        <w:t>le régime des données,</w:t>
      </w:r>
    </w:p>
    <w:p>
      <w:pPr>
        <w:pStyle w:val="ListBullet"/>
      </w:pPr>
      <w:r>
        <w:t>le montage financier et comptable,</w:t>
      </w:r>
    </w:p>
    <w:p>
      <w:pPr>
        <w:pStyle w:val="ListBullet"/>
      </w:pPr>
      <w:r>
        <w:t>les partenariats à contractualiser,</w:t>
      </w:r>
    </w:p>
    <w:p>
      <w:pPr>
        <w:pStyle w:val="ListBullet"/>
      </w:pPr>
      <w:r>
        <w:t>les risques contentieux et les points à faire trancher avant rédaction.</w:t>
      </w:r>
    </w:p>
    <w:p>
      <w:pPr>
        <w:pStyle w:val="Heading2"/>
      </w:pPr>
      <w:r>
        <w:t>1. Base légale, article par article</w:t>
      </w:r>
    </w:p>
    <w:p>
      <w:pPr>
        <w:pStyle w:val="ListBullet"/>
      </w:pPr>
      <w:r>
        <w:rPr>
          <w:b/>
        </w:rPr>
        <w:t>CGCT, article L. 2512-13, II, 1°</w:t>
      </w:r>
      <w:r>
        <w:t xml:space="preserve"> : le maire de Paris est chargé de la police municipale en matière de salubrité sur la voie publique. C'est la base d'habilitation du maire de Paris, plus explicite que celle utilisée à Béziers et à Saint-Omer, qui repose sur le droit commun (L. 2212-2). Texte vérifié sur Légifrance : https://www.legifrance.gouv.fr/codes/article_lc/LEGIARTI000041587012</w:t>
      </w:r>
    </w:p>
    <w:p>
      <w:pPr>
        <w:pStyle w:val="ListBullet"/>
      </w:pPr>
      <w:r>
        <w:rPr>
          <w:b/>
        </w:rPr>
        <w:t>CGCT, article L. 2212-2</w:t>
      </w:r>
      <w:r>
        <w:t xml:space="preserve"> : définition générale de la police municipale, utile pour la motivation de l'arrêté (bon ordre, sûreté, sécurité, salubrité publiques), même si l'habilitation parisienne spécifique prévaut ici.</w:t>
      </w:r>
    </w:p>
    <w:p>
      <w:pPr>
        <w:pStyle w:val="ListBullet"/>
      </w:pPr>
      <w:r>
        <w:rPr>
          <w:b/>
        </w:rPr>
        <w:t>CGCT, article L. 2512-16-1</w:t>
      </w:r>
      <w:r>
        <w:t xml:space="preserve"> (verbalisation par les agents de surveillance de Paris) : la rédaction citée habituellement date de la loi du 15 novembre 2001 et ne figure plus dans le chapitre en vigueur du code (L. 2512-13 à L. 2512-16). La rédaction actuelle des compétences des agents de surveillance de Paris et le renvoi au code de la sécurité intérieure doivent être vérifiés à la source avant d'être visés dans l'arrêté. Point de vigilance numéro un pour la rédaction.</w:t>
      </w:r>
    </w:p>
    <w:p>
      <w:pPr>
        <w:pStyle w:val="ListBullet"/>
      </w:pPr>
      <w:r>
        <w:rPr>
          <w:b/>
        </w:rPr>
        <w:t>Code rural et de la pêche maritime, article L. 212-10</w:t>
      </w:r>
      <w:r>
        <w:t xml:space="preserve"> : identification obligatoire des carnivores domestiques par tatouage ou puce. C'est le texte sur lequel le juge de Béziers s'est appuyé pour exiger la démonstration que ce dispositif classique était insuffisant.</w:t>
      </w:r>
    </w:p>
    <w:p>
      <w:pPr>
        <w:pStyle w:val="ListBullet"/>
      </w:pPr>
      <w:r>
        <w:rPr>
          <w:b/>
        </w:rPr>
        <w:t>Code rural, article L. 212-2</w:t>
      </w:r>
      <w:r>
        <w:t xml:space="preserve"> : finalité du fichier national d'identification. C'est le point juridique le plus fragile du projet, voir section 2.</w:t>
      </w:r>
    </w:p>
    <w:p>
      <w:pPr>
        <w:pStyle w:val="ListBullet"/>
      </w:pPr>
      <w:r>
        <w:rPr>
          <w:b/>
        </w:rPr>
        <w:t>Code de la commande publique</w:t>
      </w:r>
      <w:r>
        <w:t xml:space="preserve"> : passation du marché de laboratoire (à Saint-Omer, marché de 40 000 € sur deux ans, soit 2 % du budget propreté de la commune). Procédure adaptée, seuils à vérifier au code en vigueur à la date de passation.</w:t>
      </w:r>
    </w:p>
    <w:p>
      <w:pPr>
        <w:pStyle w:val="ListBullet"/>
      </w:pPr>
      <w:r>
        <w:rPr>
          <w:b/>
        </w:rPr>
        <w:t>Protection des données</w:t>
      </w:r>
      <w:r>
        <w:t xml:space="preserve"> : la qualification du traitement est à trancher, c'est la première question à poser au délégué à la protection des données. Deux lectures possibles : traitement de police administrative, donc régime de la directive (UE) 2016/680, ou traitement ordinaire au sens du RGPD. La Ligue des droits de l'homme, à Béziers, a attaqué sur le terrain de l'article 27 et de l'article 28 de la directive 2016/680, c'est-à-dire sur l'absence d'analyse d'impact et d'encadrement du fichier.</w:t>
      </w:r>
    </w:p>
    <w:p>
      <w:r>
        <w:t>Il faut donc, en toute hypothèse :</w:t>
      </w:r>
    </w:p>
    <w:p>
      <w:pPr>
        <w:pStyle w:val="ListBullet"/>
      </w:pPr>
      <w:r>
        <w:t>produire l'analyse d'impact,</w:t>
      </w:r>
    </w:p>
    <w:p>
      <w:pPr>
        <w:pStyle w:val="ListBullet"/>
      </w:pPr>
      <w:r>
        <w:t>tenir le registre des traitements,</w:t>
      </w:r>
    </w:p>
    <w:p>
      <w:pPr>
        <w:pStyle w:val="ListBullet"/>
      </w:pPr>
      <w:r>
        <w:t>désigner les responsables,</w:t>
      </w:r>
    </w:p>
    <w:p>
      <w:pPr>
        <w:pStyle w:val="ListBullet"/>
      </w:pPr>
      <w:r>
        <w:t>fixer la durée de conservation,</w:t>
      </w:r>
    </w:p>
    <w:p>
      <w:pPr>
        <w:pStyle w:val="ListBullet"/>
      </w:pPr>
      <w:r>
        <w:t>informer les personnes et prévoir les droits d'accès.</w:t>
      </w:r>
    </w:p>
    <w:p>
      <w:pPr>
        <w:pStyle w:val="ListBullet"/>
      </w:pPr>
      <w:r>
        <w:rPr>
          <w:b/>
        </w:rPr>
        <w:t>Loi n° 78-17 du 6 janvier 1978 et textes de transposition de la directive 2016/680</w:t>
      </w:r>
      <w:r>
        <w:t xml:space="preserve"> : références précises à confirmer avec le délégué à la protection des données avant visa.</w:t>
      </w:r>
    </w:p>
    <w:p>
      <w:pPr>
        <w:pStyle w:val="Heading2"/>
      </w:pPr>
      <w:r>
        <w:t>2. Le point juridique qu'il faut faire trancher d'abord</w:t>
      </w:r>
    </w:p>
    <w:p>
      <w:r>
        <w:t>Le dispositif suppose de passer d'un prélèvement à un nom, donc d'interroger le fichier national d'identification (I-CAD), qui est régi par son propre texte de finalité. Or ce texte n'a pas été écrit pour verbaliser une déjection.</w:t>
      </w:r>
    </w:p>
    <w:p>
      <w:pPr>
        <w:pStyle w:val="IntenseQuote"/>
      </w:pPr>
      <w:r>
        <w:t>C'est exactement le moyen que la LDH a soulevé à Béziers : consultation du fichier national dans un but autre que celui de l'article L. 212-10 du code rural.</w:t>
      </w:r>
    </w:p>
    <w:p>
      <w:r>
        <w:t>Saint-Omer fonctionne aujourd'hui en constituant son propre registre de correspondances (868 chiens en décembre 2025), ce qui limite l'interrogation du fichier national mais ne supprime pas la question.</w:t>
      </w:r>
    </w:p>
    <w:p>
      <w:r>
        <w:t>Trois options, par ordre de solidité :</w:t>
      </w:r>
    </w:p>
    <w:p>
      <w:pPr>
        <w:pStyle w:val="ListNumber"/>
      </w:pPr>
      <w:r>
        <w:t>N'interroger le fichier national qu'après avoir recueilli le consentement des propriétaires au moment de l'enregistrement, et pour la seule finalité de l'expérimentation, avec mention explicite dans le formulaire. Le coût de la solidité est un taux de couverture plus faible au départ.</w:t>
      </w:r>
    </w:p>
    <w:p>
      <w:pPr>
        <w:pStyle w:val="ListNumber"/>
      </w:pPr>
      <w:r>
        <w:t>Faire confirmer par écrit, par la direction des affaires juridiques et, si nécessaire, par la direction générale des collectivités locales, que l'interrogation pour un motif de salubrité publique entre dans les finalités du traitement, sur le fondement des missions de police municipale. À obtenir avant la signature de l'arrêté, car c'est le fondement d'une éventuelle annulation.</w:t>
      </w:r>
    </w:p>
    <w:p>
      <w:pPr>
        <w:pStyle w:val="ListNumber"/>
      </w:pPr>
      <w:r>
        <w:t>Porter une évolution législative ou réglementaire nationale, ce qui n'est pas de la compétence de la Ville mais peut être porté par un parlementaire. À traiter en parallèle, pas en préalable.</w:t>
      </w:r>
    </w:p>
    <w:p>
      <w:pPr>
        <w:pStyle w:val="Heading2"/>
      </w:pPr>
      <w:r>
        <w:t>3. La chaîne d'actes à produire</w:t>
      </w:r>
    </w:p>
    <w:p>
      <w:pPr>
        <w:pStyle w:val="ListNumber"/>
      </w:pPr>
      <w:r>
        <w:t>Vœu ou délibération du conseil d'arrondissement (le 13e est le périmètre retenu : des volontaires y comptent déjà, 43 sièges au conseil d'arrondissement, majorité stable depuis mars 2026), qui vaut engagement politique et peut servir de base à l'expérimentation.</w:t>
      </w:r>
    </w:p>
    <w:p>
      <w:pPr>
        <w:pStyle w:val="ListNumber"/>
      </w:pPr>
      <w:r>
        <w:t>Comptage contradictoire des déjections avant toute réglementation, avec protocole écrit, deux compteurs, périodes et périmètres définis, résultat daté. C'est la pièce qui manquait à Béziers et qui a provoqué l'annulation.</w:t>
      </w:r>
    </w:p>
    <w:p>
      <w:pPr>
        <w:pStyle w:val="ListNumber"/>
      </w:pPr>
      <w:r>
        <w:t>Note d'opportunité et d'impact, démonstration écrite de l'insuffisance du marquage ou de la puce pour identifier l'auteur d'une déjection, et démonstration de la proportionnalité :</w:t>
      </w:r>
    </w:p>
    <w:p>
      <w:pPr>
        <w:pStyle w:val="ListBullet"/>
      </w:pPr>
      <w:r>
        <w:t>périmètre réduit,</w:t>
      </w:r>
    </w:p>
    <w:p>
      <w:pPr>
        <w:pStyle w:val="ListBullet"/>
      </w:pPr>
      <w:r>
        <w:t>durée bornée,</w:t>
      </w:r>
    </w:p>
    <w:p>
      <w:pPr>
        <w:pStyle w:val="ListBullet"/>
      </w:pPr>
      <w:r>
        <w:t>gratuité,</w:t>
      </w:r>
    </w:p>
    <w:p>
      <w:pPr>
        <w:pStyle w:val="ListBullet"/>
      </w:pPr>
      <w:r>
        <w:t>délai de mise en règle.</w:t>
      </w:r>
    </w:p>
    <w:p>
      <w:pPr>
        <w:pStyle w:val="ListNumber"/>
      </w:pPr>
      <w:r>
        <w:t>Analyse d'impact relative à la protection des données :</w:t>
      </w:r>
    </w:p>
    <w:p>
      <w:pPr>
        <w:pStyle w:val="ListBullet"/>
      </w:pPr>
      <w:r>
        <w:t>registre,</w:t>
      </w:r>
    </w:p>
    <w:p>
      <w:pPr>
        <w:pStyle w:val="ListBullet"/>
      </w:pPr>
      <w:r>
        <w:t>information des personnes,</w:t>
      </w:r>
    </w:p>
    <w:p>
      <w:pPr>
        <w:pStyle w:val="ListBullet"/>
      </w:pPr>
      <w:r>
        <w:t>nomination du référent.</w:t>
      </w:r>
    </w:p>
    <w:p>
      <w:pPr>
        <w:pStyle w:val="ListNumber"/>
      </w:pPr>
      <w:r>
        <w:t>Projet d'arrêté motivé, avec :</w:t>
      </w:r>
    </w:p>
    <w:p>
      <w:pPr>
        <w:pStyle w:val="ListBullet"/>
      </w:pPr>
      <w:r>
        <w:t>visas,</w:t>
      </w:r>
    </w:p>
    <w:p>
      <w:pPr>
        <w:pStyle w:val="ListBullet"/>
      </w:pPr>
      <w:r>
        <w:t>périmètre,</w:t>
      </w:r>
    </w:p>
    <w:p>
      <w:pPr>
        <w:pStyle w:val="ListBullet"/>
      </w:pPr>
      <w:r>
        <w:t>durée,</w:t>
      </w:r>
    </w:p>
    <w:p>
      <w:pPr>
        <w:pStyle w:val="ListBullet"/>
      </w:pPr>
      <w:r>
        <w:t>obligation,</w:t>
      </w:r>
    </w:p>
    <w:p>
      <w:pPr>
        <w:pStyle w:val="ListBullet"/>
      </w:pPr>
      <w:r>
        <w:t>délai de 72 heures,</w:t>
      </w:r>
    </w:p>
    <w:p>
      <w:pPr>
        <w:pStyle w:val="ListBullet"/>
      </w:pPr>
      <w:r>
        <w:t>sanction applicable,</w:t>
      </w:r>
    </w:p>
    <w:p>
      <w:pPr>
        <w:pStyle w:val="ListBullet"/>
      </w:pPr>
      <w:r>
        <w:t>modalités de contrôle,</w:t>
      </w:r>
    </w:p>
    <w:p>
      <w:pPr>
        <w:pStyle w:val="ListBullet"/>
      </w:pPr>
      <w:r>
        <w:t>dispositions de publicité.</w:t>
      </w:r>
    </w:p>
    <w:p>
      <w:r>
        <w:t>Projet rédigé disponible.</w:t>
      </w:r>
    </w:p>
    <w:p>
      <w:pPr>
        <w:pStyle w:val="ListNumber"/>
      </w:pPr>
      <w:r>
        <w:t>Marché de laboratoire, procédure adaptée, avec clauses de conservation, de délai de rendu, de taux de réussite et de traçabilité des échantillons.</w:t>
      </w:r>
    </w:p>
    <w:p>
      <w:pPr>
        <w:pStyle w:val="ListNumber"/>
      </w:pPr>
      <w:r>
        <w:t>Convention avec les vétérinaires (ordre régional) pour le prélèvement buccal, kit et remontée des données.</w:t>
      </w:r>
    </w:p>
    <w:p>
      <w:pPr>
        <w:pStyle w:val="ListNumber"/>
      </w:pPr>
      <w:r>
        <w:t>Transmission au contrôle de légalité. Point à confirmer auprès de la direction des affaires juridiques : à Paris, l'articulation entre le préfet de Paris et le préfet de police sur les arrêtés de police municipale de la Ville. À Saint-Omer, le contrôle a été exercé par le préfet du Pas-de-Calais et l'arrêté est passé sans remarque, ce qui prouve la faisabilité mais ne règle pas la question francilienne.</w:t>
      </w:r>
    </w:p>
    <w:p>
      <w:pPr>
        <w:pStyle w:val="ListNumber"/>
      </w:pPr>
      <w:r>
        <w:t>Publicité au recueil des actes administratifs, information des habitants, phase volontaire préalable d'une durée suffisante, puis entrée en vigueur de l'obligation.</w:t>
      </w:r>
    </w:p>
    <w:p>
      <w:pPr>
        <w:pStyle w:val="ListNumber"/>
      </w:pPr>
      <w:r>
        <w:t>Évaluation publiée avant toute extension, avec comptage après, taux d'identification, nombre de contraventions, coût réel par analyse.</w:t>
      </w:r>
    </w:p>
    <w:p>
      <w:pPr>
        <w:pStyle w:val="Heading2"/>
      </w:pPr>
      <w:r>
        <w:t>4. Régime des données, ce que l'arrêté doit dire</w:t>
      </w:r>
    </w:p>
    <w:p>
      <w:r>
        <w:t>La base génétique des chiens reste détenue par le laboratoire.</w:t>
      </w:r>
    </w:p>
    <w:p>
      <w:r>
        <w:t>La Ville ne détient qu'un registre de correspondance entre un numéro de prélèvement et un propriétaire, pour la durée de l'expérimentation, sans conservation de l'empreinte.</w:t>
      </w:r>
    </w:p>
    <w:p>
      <w:r>
        <w:t>Aucun rapprochement avec d'autres fichiers municipaux, aucune vidéosurveillance permanente, aucune conservation au-delà de la durée prévue.</w:t>
      </w:r>
    </w:p>
    <w:p>
      <w:r>
        <w:t>Ces éléments doivent figurer dans les considérants et non seulement dans l'analyse d'impact : c'est ce que le juge lira en premier.</w:t>
      </w:r>
    </w:p>
    <w:p>
      <w:pPr>
        <w:pStyle w:val="Heading2"/>
      </w:pPr>
      <w:r>
        <w:t>5. Montage financier et comptable</w:t>
      </w:r>
    </w:p>
    <w:p>
      <w:pPr>
        <w:pStyle w:val="ListBullet"/>
      </w:pPr>
      <w:r>
        <w:rPr>
          <w:b/>
        </w:rPr>
        <w:t>Identification et enregistrement</w:t>
      </w:r>
      <w:r>
        <w:t xml:space="preserve"> à la charge de la Ville, gratuits pour le propriétaire, donc imputation en fonctionnement sur la ligne propreté, environ 46 € par chien la première année.</w:t>
      </w:r>
    </w:p>
    <w:p>
      <w:pPr>
        <w:pStyle w:val="ListBullet"/>
      </w:pPr>
      <w:r>
        <w:rPr>
          <w:b/>
        </w:rPr>
        <w:t>Analyses de déjections</w:t>
      </w:r>
      <w:r>
        <w:t xml:space="preserve"> : la pratique de Saint-Omer est que les frais sont facturés directement aux propriétaires par le laboratoire, ce qui évite à la commune de porter le coût marginal. À faire confirmer par la direction des finances : facturation directe par le laboratoire, ou titre de recettes émis par la Ville après constat. Le second suppose une base de liquidation solide.</w:t>
      </w:r>
    </w:p>
    <w:p>
      <w:pPr>
        <w:pStyle w:val="ListBullet"/>
      </w:pPr>
      <w:r>
        <w:rPr>
          <w:b/>
        </w:rPr>
        <w:t>Frais de nettoiement refacturés</w:t>
      </w:r>
      <w:r>
        <w:t xml:space="preserve"> : 132 € à Saint-Omer en plus de la contravention de 135 €.</w:t>
      </w:r>
    </w:p>
    <w:p>
      <w:pPr>
        <w:pStyle w:val="ListBullet"/>
      </w:pPr>
      <w:r>
        <w:rPr>
          <w:b/>
        </w:rPr>
        <w:t>Marché de laboratoire</w:t>
      </w:r>
      <w:r>
        <w:t xml:space="preserve"> : 40 000 € sur deux ans à Saint-Omer.</w:t>
      </w:r>
    </w:p>
    <w:p>
      <w:pPr>
        <w:pStyle w:val="ListBullet"/>
      </w:pPr>
      <w:r>
        <w:t>Fonds destiné à financer les espaces et les droits : structure associative ou fonds de dotation, alimenté par une cotisation volontaire, des commissions d'assurance et du mécénat. Aucun flux ne doit passer par le budget municipal s'il vient d'assureurs, pour éviter le conflit d'intérêts et les règles de la commande publique. Le mécénat relève de la loi du 1er août 2003 et de l'article 238 bis du code général des impôts, avec publicité et certification des comptes au-delà de 153 000 € de dons annuels. Les conventions types du ministère de la Culture couvrent le cas. Toute contrepartie commerciale sur un équipement public relève, elle, d'une autorisation d'occupation du domaine public, et non du mécénat.</w:t>
      </w:r>
    </w:p>
    <w:p>
      <w:pPr>
        <w:pStyle w:val="Heading2"/>
      </w:pPr>
      <w:r>
        <w:t>6. Partenariats à contractualiser</w:t>
      </w:r>
    </w:p>
    <w:p>
      <w:pPr>
        <w:pStyle w:val="ListBullet"/>
      </w:pPr>
      <w:r>
        <w:rPr>
          <w:b/>
        </w:rPr>
        <w:t>Île-de-France Mobilités</w:t>
      </w:r>
      <w:r>
        <w:t xml:space="preserve"> : l'accès des chiens aux bus et aux tramways ne dépend pas de la Ville. Aujourd'hui les chiens de taille moyenne et grande sont admis gratuitement, muselés et en laisse, uniquement dans le métro et le RER, jamais dans les bus ni les tramways. C'est donc un objet de convention, à porter au titre des droits du statut.</w:t>
      </w:r>
    </w:p>
    <w:p>
      <w:pPr>
        <w:pStyle w:val="ListBullet"/>
      </w:pPr>
      <w:r>
        <w:rPr>
          <w:b/>
        </w:rPr>
        <w:t>Bailleurs sociaux de la Ville</w:t>
      </w:r>
      <w:r>
        <w:t xml:space="preserve"> : leur règlement intérieur interdit l'accès des animaux, même tenus en laisse, aux espaces verts, aux aires de jeux et aux cours (article 3 du règlement de Paris Habitat). L'ouverture de jardins d'immeuble suppose une modification du règlement et une convention, ce qui est faisable puisque la Ville est actionnaire de ces bailleurs.</w:t>
      </w:r>
    </w:p>
    <w:p>
      <w:pPr>
        <w:pStyle w:val="ListBullet"/>
      </w:pPr>
      <w:r>
        <w:rPr>
          <w:b/>
        </w:rPr>
        <w:t>Ordre régional des vétérinaires</w:t>
      </w:r>
      <w:r>
        <w:t xml:space="preserve"> : protocole de prélèvement, kit, traçabilité.</w:t>
      </w:r>
    </w:p>
    <w:p>
      <w:pPr>
        <w:pStyle w:val="ListBullet"/>
      </w:pPr>
      <w:r>
        <w:rPr>
          <w:b/>
        </w:rPr>
        <w:t>Éducateurs canins agréés</w:t>
      </w:r>
      <w:r>
        <w:t xml:space="preserve"> : cahier des charges de la séance validée, tarif conventionné, gratuité pour les publics en difficulté.</w:t>
      </w:r>
    </w:p>
    <w:p>
      <w:pPr>
        <w:pStyle w:val="ListBullet"/>
      </w:pPr>
      <w:r>
        <w:rPr>
          <w:b/>
        </w:rPr>
        <w:t>Assurance</w:t>
      </w:r>
      <w:r>
        <w:t xml:space="preserve"> : contrat de groupe porté par la structure partenaire, remise pour les titulaires du statut, libre choix de l'assureur pour éviter la vente liée.</w:t>
      </w:r>
    </w:p>
    <w:p>
      <w:pPr>
        <w:pStyle w:val="ListBullet"/>
      </w:pPr>
      <w:r>
        <w:rPr>
          <w:b/>
        </w:rPr>
        <w:t>Académiques et scientifiques</w:t>
      </w:r>
      <w:r>
        <w:t xml:space="preserve"> : validation de la méthode et de la mesure (école vétérinaire, biodiversité pour les bois), utile en contentieux.</w:t>
      </w:r>
    </w:p>
    <w:p>
      <w:pPr>
        <w:pStyle w:val="Heading2"/>
      </w:pPr>
      <w:r>
        <w:t>7. Risques contentieux, par ordre de vraisemblance</w:t>
      </w:r>
    </w:p>
    <w:p>
      <w:pPr>
        <w:pStyle w:val="ListNumber"/>
      </w:pPr>
      <w:r>
        <w:rPr>
          <w:b/>
        </w:rPr>
        <w:t>Recours au fond</w:t>
      </w:r>
      <w:r>
        <w:t xml:space="preserve"> contre l'arrêté, sur la nécessité, l'insuffisance du dispositif classique et la proportionnalité. C'est le scénario Béziers, et il se neutralise par le dossier de preuve.</w:t>
      </w:r>
    </w:p>
    <w:p>
      <w:pPr>
        <w:pStyle w:val="ListNumber"/>
      </w:pPr>
      <w:r>
        <w:rPr>
          <w:b/>
        </w:rPr>
        <w:t>Référé-suspension.</w:t>
      </w:r>
      <w:r>
        <w:t xml:space="preserve"> À Béziers, il a été rejeté pour défaut d'urgence, sans que la légalité soit examinée : ce n'est donc pas une protection, seulement un répit.</w:t>
      </w:r>
    </w:p>
    <w:p>
      <w:pPr>
        <w:pStyle w:val="ListNumber"/>
      </w:pPr>
      <w:r>
        <w:rPr>
          <w:b/>
        </w:rPr>
        <w:t>Contentieux sur les données</w:t>
      </w:r>
      <w:r>
        <w:t>, sur le fondement du fichage non encadré et de l'absence d'analyse d'impact.</w:t>
      </w:r>
    </w:p>
    <w:p>
      <w:pPr>
        <w:pStyle w:val="ListNumber"/>
      </w:pPr>
      <w:r>
        <w:rPr>
          <w:b/>
        </w:rPr>
        <w:t>Contentieux indemnitaire</w:t>
      </w:r>
      <w:r>
        <w:t xml:space="preserve"> en cas de fausse attribution, qui suppose une chaîne de preuve et une procédure de contestation écrites.</w:t>
      </w:r>
    </w:p>
    <w:p>
      <w:pPr>
        <w:pStyle w:val="ListNumber"/>
      </w:pPr>
      <w:r>
        <w:rPr>
          <w:b/>
        </w:rPr>
        <w:t>Risque d'inexécution</w:t>
      </w:r>
      <w:r>
        <w:t xml:space="preserve"> : un arrêté sans agents formés, sans kits et sans capacité de laboratoire disponible est politiquement plus coûteux qu'une absence d'arrêté.</w:t>
      </w:r>
    </w:p>
    <w:p>
      <w:pPr>
        <w:pStyle w:val="Heading2"/>
      </w:pPr>
      <w:r>
        <w:t>8. Les trois arbitrages à demander au cabinet</w:t>
      </w:r>
    </w:p>
    <w:p>
      <w:pPr>
        <w:pStyle w:val="ListNumber"/>
      </w:pPr>
      <w:r>
        <w:rPr>
          <w:b/>
        </w:rPr>
        <w:t>Périmètre</w:t>
      </w:r>
      <w:r>
        <w:t xml:space="preserve"> : un arrondissement (le 13e, retenu : c'est là que vivent les volontaires qui comptent) ou deux. Réponse recommandée : un seul, avec extension décidée après évaluation.</w:t>
      </w:r>
    </w:p>
    <w:p>
      <w:pPr>
        <w:pStyle w:val="ListNumber"/>
      </w:pPr>
      <w:r>
        <w:rPr>
          <w:b/>
        </w:rPr>
        <w:t>Sanction</w:t>
      </w:r>
      <w:r>
        <w:t xml:space="preserve"> : obligation d'identification seule, ou obligation assortie d'une sanction dès la première année. Réponse recommandée : année 1 sans sanction, sanction à partir de l'année 2, après publication du taux de couverture.</w:t>
      </w:r>
    </w:p>
    <w:p>
      <w:pPr>
        <w:pStyle w:val="ListNumber"/>
      </w:pPr>
      <w:r>
        <w:rPr>
          <w:b/>
        </w:rPr>
        <w:t>Financement des droits</w:t>
      </w:r>
      <w:r>
        <w:t xml:space="preserve"> : gratuité totale, ou cotisation modique avec exonérations. Réponse recommandée : gratuité la première année, cotisation ensuite, avec exonération automatique pour les bénéficiaires de minima sociaux.</w:t>
      </w:r>
    </w:p>
    <w:p>
      <w:pPr>
        <w:pStyle w:val="Heading2"/>
      </w:pPr>
      <w:r>
        <w:t>9. Points à confirmer avant rédaction</w:t>
      </w:r>
    </w:p>
    <w:p>
      <w:pPr>
        <w:pStyle w:val="ListBullet"/>
      </w:pPr>
      <w:r>
        <w:t>Rédaction en vigueur des textes relatifs aux agents de surveillance de Paris et aux contraventions qu'ils constatent.</w:t>
      </w:r>
    </w:p>
    <w:p>
      <w:pPr>
        <w:pStyle w:val="ListBullet"/>
      </w:pPr>
      <w:r>
        <w:t>Autorité compétente pour le contrôle de légalité des arrêtés de police municipale du maire de Paris.</w:t>
      </w:r>
    </w:p>
    <w:p>
      <w:pPr>
        <w:pStyle w:val="ListBullet"/>
      </w:pPr>
      <w:r>
        <w:t>Fondement et périmètre de l'interrogation du fichier national d'identification.</w:t>
      </w:r>
    </w:p>
    <w:p>
      <w:pPr>
        <w:pStyle w:val="ListBullet"/>
      </w:pPr>
      <w:r>
        <w:t>Qualification du traitement de données et régime applicable.</w:t>
      </w:r>
    </w:p>
    <w:p>
      <w:pPr>
        <w:pStyle w:val="ListBullet"/>
      </w:pPr>
      <w:r>
        <w:t>Seuils de la commande publique applicables au marché de laboratoire.</w:t>
      </w:r>
    </w:p>
    <w:p>
      <w:pPr>
        <w:pStyle w:val="ListBullet"/>
      </w:pPr>
      <w:r>
        <w:t>Traitement comptable de la refacturation des analyses et des frais de nettoiement.</w:t>
      </w:r>
    </w:p>
    <w:p>
      <w:r>
        <w:t>Chaque chiffre de cette note est vérifié sur source, avec URL, dans /root/chiens-paris/AUDIT-SOURCES.md.</w:t>
      </w:r>
    </w:p>
    <w:p>
      <w:r>
        <w:t>Les pièces rédigées sont dans les fichiers :</w:t>
      </w:r>
    </w:p>
    <w:p>
      <w:pPr>
        <w:pStyle w:val="ListBullet"/>
      </w:pPr>
      <w:r>
        <w:t>PROJET-ARRETE-STATUT-CHIEN-CITOYEN.md (arrêté et règlement),</w:t>
      </w:r>
    </w:p>
    <w:p>
      <w:pPr>
        <w:pStyle w:val="ListBullet"/>
      </w:pPr>
      <w:r>
        <w:t>NOTE-JURIDIQUE-ARRETE-ADN.md (ce qui a fait annuler Béziers),</w:t>
      </w:r>
    </w:p>
    <w:p>
      <w:pPr>
        <w:pStyle w:val="ListBullet"/>
      </w:pPr>
      <w:r>
        <w:t>ADN-COUTS-FAISABILITE.md (coûts et faisabilité),</w:t>
      </w:r>
    </w:p>
    <w:p>
      <w:pPr>
        <w:pStyle w:val="ListBullet"/>
      </w:pPr>
      <w:r>
        <w:t>et la section 7 du rapport complet pour le coût unitaire détaillé.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