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 ADN canins : coûts et faisabilité</w:t>
      </w:r>
    </w:p>
    <w:p>
      <w:pPr>
        <w:jc w:val="left"/>
      </w:pPr>
      <w:r>
        <w:t>Pièce du dossier « chien citoyen de Paris ».</w:t>
      </w:r>
    </w:p>
    <w:p>
      <w:r>
        <w:t>Paris, 29 septembre 2026.</w:t>
      </w:r>
    </w:p>
    <w:p>
      <w:r>
        <w:t>Document de travail du 29 septembre 2026. Rien n'a été voté.</w:t>
      </w:r>
    </w:p>
    <w:p>
      <w:pPr>
        <w:pStyle w:val="Heading1"/>
      </w:pPr>
      <w:r>
        <w:t>Tests ADN canins : coûts réels, facilité de mise en œuvre, et chiffrage pour Paris (29/09/2026)</w:t>
      </w:r>
    </w:p>
    <w:p>
      <w:pPr>
        <w:pStyle w:val="Heading2"/>
      </w:pPr>
      <w:r>
        <w:t>Sommaire</w:t>
      </w:r>
    </w:p>
    <w:p>
      <w:pPr>
        <w:pStyle w:val="ListBullet"/>
      </w:pPr>
      <w:r>
        <w:rPr>
          <w:b w:val="0"/>
        </w:rPr>
        <w:t>1. Combien coûte un test, concrètement</w:t>
      </w:r>
    </w:p>
    <w:p>
      <w:pPr>
        <w:pStyle w:val="ListBullet"/>
      </w:pPr>
      <w:r>
        <w:rPr>
          <w:b w:val="0"/>
        </w:rPr>
        <w:t>2. Est-ce facile à faire ? Oui, techniquement. Les points durs sont ailleurs.</w:t>
      </w:r>
    </w:p>
    <w:p>
      <w:pPr>
        <w:pStyle w:val="ListBullet"/>
      </w:pPr>
      <w:r>
        <w:rPr>
          <w:b w:val="0"/>
        </w:rPr>
        <w:t>3. Chiffrage pour Paris</w:t>
      </w:r>
    </w:p>
    <w:p>
      <w:pPr>
        <w:pStyle w:val="ListBullet"/>
      </w:pPr>
      <w:r>
        <w:rPr>
          <w:b w:val="0"/>
        </w:rPr>
        <w:t>4. Le test le moins cher à faire maintenant (pour aller vite sans argent)</w:t>
      </w:r>
    </w:p>
    <w:p>
      <w:r>
        <w:t>[E] = estimation ou calcul de l'auteur.</w:t>
      </w:r>
    </w:p>
    <w:p>
      <w:r>
        <w:t>Les tarifs labour sont publics et sourcés ci-dessous.</w:t>
      </w:r>
    </w:p>
    <w:p>
      <w:pPr>
        <w:pStyle w:val="Heading2"/>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2"/>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2"/>
      </w:pPr>
      <w:r>
        <w:t>3. Chiffrage pour Paris</w:t>
      </w:r>
    </w:p>
    <w:p>
      <w:r>
        <w:rPr>
          <w:b/>
        </w:rPr>
        <w:t>Hypothèses</w:t>
      </w:r>
      <w:r>
        <w:t xml:space="preserve"> :</w:t>
      </w:r>
    </w:p>
    <w:p>
      <w:pPr>
        <w:pStyle w:val="ListBullet"/>
      </w:pPr>
      <w:r>
        <w:t>Paris ~100 000 chiens identifiés ;</w:t>
      </w:r>
    </w:p>
    <w:p>
      <w:pPr>
        <w:pStyle w:val="ListBullet"/>
      </w:pPr>
      <w:r>
        <w:t xml:space="preserve">périmètre pilote : </w:t>
      </w:r>
      <w:r>
        <w:rPr>
          <w:b/>
        </w:rPr>
        <w:t>le 13e</w:t>
      </w:r>
      <w:r>
        <w:t xml:space="preserve"> (arbitrage du 29/09/2026) ; le chiffre de chiens identifiés du 13e est à obtenir, donc les volumes ci-dessous utilisent le cas de référence déjà chiffré,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(cas de référence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2"/>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(13e), protocole simple, 3 semaines, avec des bénévoles et une fiche de relevé. Coût : 0 €. C'est la pièce qui manquait à Béziers, et c'est aussi l'argument public (le chiffre avant/après).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