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L'arrêté ADN canin : ce qui a fait annuler Béziers</w:t>
      </w:r>
    </w:p>
    <w:p>
      <w:pPr>
        <w:jc w:val="left"/>
      </w:pPr>
      <w:r>
        <w:t>Pièce du dossier « chien citoyen de Paris ».</w:t>
      </w:r>
    </w:p>
    <w:p>
      <w:r>
        <w:t>Paris, 29 septembre 2026.</w:t>
      </w:r>
    </w:p>
    <w:p>
      <w:r>
        <w:t>Document de travail du 29 septembre 2026. Rien n'a été voté.</w:t>
      </w:r>
    </w:p>
    <w:p>
      <w:pPr>
        <w:pStyle w:val="Heading1"/>
      </w:pPr>
      <w:r>
        <w:t>Note juridique — l'arrêté ADN canin : ce qui a fait annuler Béziers, et la recette pour un arrêté qui tient (29/09/2026)</w:t>
      </w:r>
    </w:p>
    <w:p>
      <w:pPr>
        <w:pStyle w:val="Heading2"/>
      </w:pPr>
      <w:r>
        <w:t>Sommaire</w:t>
      </w:r>
    </w:p>
    <w:p>
      <w:pPr>
        <w:pStyle w:val="ListBullet"/>
      </w:pPr>
      <w:r>
        <w:rPr>
          <w:b w:val="0"/>
        </w:rPr>
        <w:t>1. Les faits de Béziers, précisément</w:t>
      </w:r>
    </w:p>
    <w:p>
      <w:pPr>
        <w:pStyle w:val="ListBullet"/>
      </w:pPr>
      <w:r>
        <w:rPr>
          <w:b w:val="0"/>
        </w:rPr>
        <w:t>2. Le point qui change tout pour Paris</w:t>
      </w:r>
    </w:p>
    <w:p>
      <w:pPr>
        <w:pStyle w:val="ListBullet"/>
      </w:pPr>
      <w:r>
        <w:rPr>
          <w:b w:val="0"/>
        </w:rPr>
        <w:t>3. La recette pour un arrêté qui survit à un recours (déduite du jugement de Béziers)</w:t>
      </w:r>
    </w:p>
    <w:p>
      <w:pPr>
        <w:pStyle w:val="ListBullet"/>
      </w:pPr>
      <w:r>
        <w:rPr>
          <w:b w:val="0"/>
        </w:rPr>
        <w:t>4. Ce que ça implique pour le projet « chien citoyen »</w:t>
      </w:r>
    </w:p>
    <w:p>
      <w:pPr>
        <w:pStyle w:val="ListBullet"/>
      </w:pPr>
      <w:r>
        <w:rPr>
          <w:b w:val="0"/>
        </w:rPr>
        <w:t>Sources</w:t>
      </w:r>
    </w:p>
    <w:p>
      <w:pPr>
        <w:pStyle w:val="Heading2"/>
      </w:pPr>
      <w:r>
        <w:t>1. Les faits de Béziers, précisément</w:t>
      </w:r>
    </w:p>
    <w:p>
      <w:pPr>
        <w:pStyle w:val="ListBullet"/>
      </w:pPr>
      <w:r>
        <w:t>Arrêté du maire de Béziers du 12 mai 2023 : à titre d'expérimentation, du 13 juillet 2023 au 23 juillet 2025, toute personne promenant son chien dans l'hypercentre doit pouvoir justifier de l'identification génétique de son animal.</w:t>
      </w:r>
    </w:p>
    <w:p>
      <w:pPr>
        <w:pStyle w:val="ListBullet"/>
      </w:pPr>
      <w:r>
        <w:t>Jugement du tribunal administratif de Montpellier du 6 mai 2025 : ANNULATION. Motifs exacts du jugement (cités par la LDH qui reprend les termes du TA) :</w:t>
      </w:r>
    </w:p>
    <w:p>
      <w:pPr>
        <w:pStyle w:val="ListBullet2"/>
      </w:pPr>
      <w:r>
        <w:t>« aucune pièce du dossier ne permet de corroborer les éléments indiqués dans l'exposé des motifs de l'arrêté », notamment l'atteinte à la sécurité et à la salubrité publique par le nombre de déjections ramassées en 2020, 2021 et 2022, ni l'inefficacité des mesures déjà prises par la commune ;</w:t>
      </w:r>
    </w:p>
    <w:p>
      <w:pPr>
        <w:pStyle w:val="ListBullet2"/>
      </w:pPr>
      <w:r>
        <w:t>« il ne ressort pas non plus des pièces du dossier que la méthode d'identification classique, telle que l'apposition d'un tatouage ou d'un marquage, obligatoire en vertu de l'article L. 212-10 du code rural et de la pêche maritime, n'est pas suffisante » pour identifier les animaux responsables ;</w:t>
      </w:r>
    </w:p>
    <w:p>
      <w:pPr>
        <w:pStyle w:val="ListBullet2"/>
      </w:pPr>
      <w:r>
        <w:t>« eu égard aux sujétions qu'elle impose aux propriétaires ou détenteurs de chiens, la mesure édictée n'est ni nécessaire, ni adaptée, ni proportionnée à sa finalité, et ce, alors même que l'arrêté concerne un territoire réduit. »</w:t>
      </w:r>
    </w:p>
    <w:p>
      <w:pPr>
        <w:pStyle w:val="ListBullet"/>
      </w:pPr>
      <w:r>
        <w:t>Le jour même, Robert Ménard a signé un nouvel arrêté identique, jusqu'au 31 décembre 2028 : amende de 35 € en cas de défaut d'identification génétique, redevance de 130 € « au titre des frais de nettoiement » pour une déjection non ramassée identifiée par le fichier. Il invoque une baisse de 85 % des déjections dans l'hypercentre entre septembre 2023 et avril 2025.</w:t>
      </w:r>
    </w:p>
    <w:p>
      <w:pPr>
        <w:pStyle w:val="ListBullet"/>
      </w:pPr>
      <w:r>
        <w:t>LDH : référé-suspension rejeté le 27 juin 2025 pour DÉFAUT D'URGENCE — c'est-à-dire que le juge des référés ne s'est PAS prononcé sur la légalité de l'arrêté. Le recours au fond est toujours pendant.</w:t>
      </w:r>
    </w:p>
    <w:p>
      <w:pPr>
        <w:pStyle w:val="ListBullet"/>
      </w:pPr>
      <w:r>
        <w:t>Conclusion : en France, la jurisprudence sur l'arrêté ADN canin n'est PAS stabilisée. Un jugement d'annulation existe (motifs ci-dessus), un deuxième contentieux est en cours, et Saint-Omer a un arrêté du même type passé sans remarque par le contrôle de légalité préfectoral (le contrôle de légalité n'est pas un jugement).</w:t>
      </w:r>
    </w:p>
    <w:p>
      <w:pPr>
        <w:pStyle w:val="Heading2"/>
      </w:pPr>
      <w:r>
        <w:t>2. Le point qui change tout pour Paris</w:t>
      </w:r>
    </w:p>
    <w:p>
      <w:r>
        <w:t>Selon le I de l'article L. 2512-13 du CGCT, à Paris le préfet de police exerce les pouvoirs de police générale, MAIS le II du même article dispose que « le maire de Paris est chargé de la police municipale en matière : 1° De salubrité sur la voie publique ».</w:t>
      </w:r>
    </w:p>
    <w:p>
      <w:r>
        <w:t>La salubrité de la voie publique — exactement le fondement de l'arrêté anti-déjections — EST donc bien dans la main du maire de Paris.</w:t>
      </w:r>
    </w:p>
    <w:p>
      <w:r>
        <w:t>C'est une base plus claire que celle dont disposaient Béziers ou Saint-Omer, où le maire agit au titre du droit commun (L. 2212-2 CGCT).</w:t>
      </w:r>
    </w:p>
    <w:p>
      <w:r>
        <w:t xml:space="preserve">Et </w:t>
      </w:r>
      <w:r>
        <w:rPr>
          <w:b/>
        </w:rPr>
        <w:t>l'exécution existe</w:t>
      </w:r>
      <w:r>
        <w:t xml:space="preserve"> : l'article L. 2512-16-1 du CGCT — rédaction issue de la loi du 15 novembre 2001, qui ne figure plus dans le chapitre en vigueur du code (L. 2512-13 à L. 2512-16), à revérifier sur Légifrance avant citation — permet aux agents de surveillance de Paris (ASP) de verbaliser les contraventions aux arrêtés de police du maire de Paris relatifs au bon ordre, à la tranquillité, à la sécurité et à la salubrité sur la voie publique.</w:t>
      </w:r>
    </w:p>
    <w:p>
      <w:r>
        <w:t>La chaîne « arrêté -&gt; verbalisation » a donc un titulaire à Paris.</w:t>
      </w:r>
    </w:p>
    <w:p>
      <w:pPr>
        <w:pStyle w:val="IntenseQuote"/>
      </w:pPr>
      <w:r>
        <w:rPr>
          <w:b/>
        </w:rPr>
        <w:t>À vérifier</w:t>
      </w:r>
      <w:r>
        <w:t xml:space="preserve"> auprès de la direction des affaires juridiques de la Ville : le partage exact avec la préfecture de police pour les contrôles sur la voie publique, et la qualification des agents qui feraient les prélèvements sur les déjections.</w:t>
      </w:r>
    </w:p>
    <w:p>
      <w:pPr>
        <w:pStyle w:val="Heading2"/>
      </w:pPr>
      <w:r>
        <w:t>3. La recette pour un arrêté qui survit à un recours (déduite du jugement de Béziers)</w:t>
      </w:r>
    </w:p>
    <w:p>
      <w:r>
        <w:rPr>
          <w:b/>
        </w:rPr>
        <w:t>Chaque motif d'annulation</w:t>
      </w:r>
      <w:r>
        <w:t xml:space="preserve"> indique ce qu'il faut prouver par pièces :</w:t>
      </w:r>
    </w:p>
    <w:p>
      <w:pPr>
        <w:pStyle w:val="ListNumber"/>
      </w:pPr>
      <w:r>
        <w:t>Démontrer l'atteinte à la salubrité AVANT de réglementer. Comptage contradictoire des déjections (agents du service propreté, périmètre défini, plusieurs mois, protocole écrit), données de signalements DansMaRue, plaintes d'habitants et de commerçants. Béziers est tombé là-dessus : l'arrêté affirmait, le dossier ne prouvait pas.</w:t>
      </w:r>
    </w:p>
    <w:p>
      <w:pPr>
        <w:pStyle w:val="ListNumber"/>
      </w:pPr>
      <w:r>
        <w:t>Démontrer l'insuffisance de l'identification classique (puce, tatouage). C'est l'argument de fond, et il est solide s'il est documenté : une puce électronique identifie un chien, mais elle ne relie pas une déjection à un chien. Aucun agent ne peut attribuer une crotte à un chien sans analyse génétique, et le flagrant délit est quasi impossible. Cette démonstration doit être écrite noir sur blanc dans l'arrêté, avec les pièces (retours d'expérience des agents, statistiques de verbalisation en flagrant délit : proche de zéro).</w:t>
      </w:r>
    </w:p>
    <w:p>
      <w:pPr>
        <w:pStyle w:val="ListNumber"/>
      </w:pPr>
      <w:r>
        <w:t>Documenter la proportionnalité : périmètre restreint et justifié (rues les plus fréquentées), durée bornée, signalétique aux entrées de zone, gratuité totale de l'identification, 72 h pour se mettre en règle, tolérance pour les visiteurs occasionnels, évaluation publique avant toute extension. C'est le modèle Saint-Omer, et c'est l'inverse de la méthode Béziers.</w:t>
      </w:r>
    </w:p>
    <w:p>
      <w:pPr>
        <w:pStyle w:val="ListNumber"/>
      </w:pPr>
      <w:r>
        <w:t>Sécuriser les données (moyens soulevés par la LDH, à anticiper) : analyse d'impact (AIPD) et déclaration/registre CNIL, base génétique conservée par le laboratoire seul, la Ville ne détenant que la correspondance prélèvement -&gt; propriétaire, durée de conservation définie, pas de surveillance vidéo permanente (Saint-Omer : vidéoprotection ponctuelle en temps réel uniquement), pas de consultation du fichier national I-CAD au-delà de son objet légal.</w:t>
      </w:r>
    </w:p>
    <w:p>
      <w:pPr>
        <w:pStyle w:val="ListNumber"/>
      </w:pPr>
      <w:r>
        <w:t>Ne pas franchir la ligne du « fichage des personnes » : ne jamais conserver l'ADN, ne jamais croiser avec d'autres fichiers, ne pas conditionner l'accès à l'espace public en général.</w:t>
      </w:r>
    </w:p>
    <w:p>
      <w:pPr>
        <w:pStyle w:val="Heading2"/>
      </w:pPr>
      <w:r>
        <w:t>4. Ce que ça implique pour le projet « chien citoyen »</w:t>
      </w:r>
    </w:p>
    <w:p>
      <w:pPr>
        <w:pStyle w:val="ListBullet"/>
      </w:pPr>
      <w:r>
        <w:t>Le bâton n'est pas interdit en France, mais il est contentieux. La stratégie la moins risquée est en deux temps : (1) phase volontaire non sanctionnante — enregistrement gratuit, badge, contreparties, comptage des déjections en parallèle ; (2) phase d'obligation bornée sur un périmètre, une fois les pièces réunies (baisse constatée, insuffisance de la puce démontrée, AIPD faite) et avec un arrêté écrit comme un dossier de preuve.</w:t>
      </w:r>
    </w:p>
    <w:p>
      <w:pPr>
        <w:pStyle w:val="ListBullet"/>
      </w:pPr>
      <w:r>
        <w:t>Ne pas annoncer l'obligation sans les comptages : c'est le motif exact qui a coulé Béziers, et une annulation en pleine campagne est une défaite politique irrécupérable.</w:t>
      </w:r>
    </w:p>
    <w:p>
      <w:pPr>
        <w:pStyle w:val="ListBullet"/>
      </w:pPr>
      <w:r>
        <w:t>Saint-Omer a un avantage que Paris aura aussi : la baisse constatée (-60 %) devient la preuve de l'utilité du dispositif pour la période suivante. Il faut donc mesurer dès le premier jour.</w:t>
      </w:r>
    </w:p>
    <w:p>
      <w:pPr>
        <w:pStyle w:val="Heading2"/>
      </w:pPr>
      <w:r>
        <w:t>Sources</w:t>
      </w:r>
    </w:p>
    <w:p>
      <w:pPr>
        <w:pStyle w:val="ListBullet"/>
      </w:pPr>
      <w:r>
        <w:t>TA Montpellier, jugement du 6 mai 2025 (arrêté du 12 mai 2023 annulé), motifs cités par la LDH ; ordonnance de référé du 27 juin 2025 (n° 2504518, rejet pour défaut d'urgence).</w:t>
      </w:r>
    </w:p>
    <w:p>
      <w:pPr>
        <w:pStyle w:val="ListBullet"/>
      </w:pPr>
      <w:r>
        <w:t>Le Parisien, 14/05/2025 (nouvel arrêté du 6 mai 2025, amende 35 €, redevance 130 €, -85 %).</w:t>
      </w:r>
    </w:p>
    <w:p>
      <w:pPr>
        <w:pStyle w:val="ListBullet"/>
      </w:pPr>
      <w:r>
        <w:t>LDH France et LDH Béziers (moyens soulevés : incompétence, AIPD et déclaration CNIL au titre des articles 27-28 de la directive (UE) 2016/680, fichage non encadré, consultation du fichier national hors objet de l'article L. 212-10 du code rural, vie privée, liberté d'aller et venir).</w:t>
      </w:r>
    </w:p>
    <w:p>
      <w:pPr>
        <w:pStyle w:val="ListBullet"/>
      </w:pPr>
      <w:r>
        <w:t>CGCT, art. L. 2512-13 II 1° (police municipale de la salubrité sur la voie publique confiée au maire de Paris) et L. 2512-16-1 (verbalisation par les agents de surveillance de Paris).</w:t>
      </w:r>
    </w:p>
    <w:p>
      <w:pPr>
        <w:pStyle w:val="ListBullet"/>
      </w:pPr>
      <w:r>
        <w:t>FAQ officielle « L'identification génétique des chiens » de la Ville de Saint-Omer.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