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anti-hallucination des sources</w:t>
      </w:r>
    </w:p>
    <w:p>
      <w:pPr>
        <w:jc w:val="left"/>
      </w:pPr>
      <w:r>
        <w:t>Pièce du dossier « chien citoyen de Paris ».</w:t>
      </w:r>
    </w:p>
    <w:p>
      <w:r>
        <w:t>Paris, 29 septembre 2026.</w:t>
      </w:r>
    </w:p>
    <w:p>
      <w:r>
        <w:t>Document de travail du 29 septembre 2026. Rien n'a été voté.</w:t>
      </w:r>
    </w:p>
    <w:p>
      <w:pPr>
        <w:pStyle w:val="Heading1"/>
      </w:pPr>
      <w:r>
        <w:t>Audit anti-hallucination du dossier chiens-paris</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2"/>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2"/>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2"/>
      </w:pPr>
      <w:r>
        <w:t>3. Affirmations confirmées, avec la source qui les porte</w:t>
      </w:r>
    </w:p>
    <w:p>
      <w:pPr>
        <w:pStyle w:val="Heading3"/>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3"/>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3"/>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3"/>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3"/>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3"/>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2"/>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2"/>
      </w:pPr>
      <w:r>
        <w:t>5. Corrections appliquées aux fichiers</w:t>
      </w:r>
    </w:p>
    <w:p>
      <w:pPr>
        <w:pStyle w:val="ListBullet"/>
      </w:pPr>
      <w:r>
        <w:t>RAPPORT-COMPLET-CHIENS-PARIS.md : densité incohérente signalée, poids moyen supprimé, Barcelone requalifié, transports réécrits selon la RATP, réserve sur l'article L. 2512-16-1, -85 % attribué à la mairie, KARTES requalifié, annexe E ajoutée avec toutes les URL.</w:t>
      </w:r>
    </w:p>
    <w:p>
      <w:pPr>
        <w:pStyle w:val="ListBullet"/>
      </w:pPr>
      <w:r>
        <w:t>PITCH-ET-RESUME.md : transports, densité, poids, Barcelone, -85 %, et la section « Sources » qui manquait alors que le texte l'annonçait.</w:t>
      </w:r>
    </w:p>
    <w:p>
      <w:pPr>
        <w:pStyle w:val="ListBullet"/>
      </w:pPr>
      <w:r>
        <w:t>PROJET-CHIENS-PARIS.md : densité et poids, plafond de campagne corrigé, Berlin corrigé.</w:t>
      </w:r>
    </w:p>
    <w:p>
      <w:pPr>
        <w:pStyle w:val="ListBullet"/>
      </w:pPr>
      <w:r>
        <w:t>STATUT-CHIEN-CITOYEN.md : Torrevieja retiré, règles de transport réécrites.</w:t>
      </w:r>
    </w:p>
    <w:p>
      <w:pPr>
        <w:pStyle w:val="ListBullet"/>
      </w:pPr>
      <w:r>
        <w:t>NOTE-JURIDIQUE-ARRETE-ADN.md et PROJET-ARRETE-STATUT-CHIEN-CITOYEN.md : réserve sur la rédaction de l'article L. 2512-16-1.</w:t>
      </w:r>
    </w:p>
    <w:p>
      <w:pPr>
        <w:pStyle w:val="ListBullet"/>
      </w:pPr>
      <w:r>
        <w:t>ADN-COUTS-FAISABILITE.md : -85 % attribué à la mairie.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