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L'arrêté ADN canin : ce qui a fait annuler Béziers</w:t>
      </w:r>
    </w:p>
    <w:p>
      <w:pPr>
        <w:jc w:val="left"/>
      </w:pPr>
      <w:r>
        <w:t>Pièce du dossier « chien citoyen de Paris ».</w:t>
      </w:r>
    </w:p>
    <w:p>
      <w:r>
        <w:t>Paris, 29 septembre 2026.</w:t>
      </w:r>
    </w:p>
    <w:p>
      <w:r>
        <w:t>Document de travail du 29 septembre 2026. Rien n'a été voté.</w:t>
      </w:r>
    </w:p>
    <w:p>
      <w:pPr>
        <w:pStyle w:val="Heading1"/>
      </w:pPr>
      <w:r>
        <w:t>Note juridique — l'arrêté ADN canin : ce qui a fait annuler Béziers, et la recette pour un arrêté qui tient (29/09/2026)</w:t>
      </w:r>
    </w:p>
    <w:p>
      <w:pPr>
        <w:pStyle w:val="Heading2"/>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2"/>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2"/>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2"/>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2"/>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