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chien citoyen de Paris, version grand public</w:t>
      </w:r>
    </w:p>
    <w:p>
      <w:pPr>
        <w:jc w:val="left"/>
      </w:pPr>
      <w:r>
        <w:t>Pièce du dossier « chien citoyen de Paris ».</w:t>
      </w:r>
    </w:p>
    <w:p>
      <w:r>
        <w:t>Paris, 29 septembre 2026.</w:t>
      </w:r>
    </w:p>
    <w:p>
      <w:r>
        <w:t>Document de travail du 29 septembre 2026. Rien n'a été voté.</w:t>
      </w:r>
    </w:p>
    <w:p>
      <w:pPr>
        <w:pStyle w:val="Heading1"/>
      </w:pPr>
      <w:r>
        <w:t>Le chien citoyen de Paris — version grand public</w:t>
      </w:r>
    </w:p>
    <w:p>
      <w:r>
        <w:t>Une page pour comprendre de quoi on parle, sans jargon.</w:t>
      </w:r>
    </w:p>
    <w:p>
      <w:pPr>
        <w:pStyle w:val="Heading2"/>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2"/>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2"/>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2"/>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2"/>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2"/>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2"/>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2"/>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2"/>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Les détails chiffrés et les sources sont dans le dossier : /root/chiens-paris/AUDIT-SOURCES.md et le rapport complet.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