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Pitch pour un collègue technique</w:t>
      </w:r>
    </w:p>
    <w:p>
      <w:pPr>
        <w:jc w:val="left"/>
      </w:pPr>
      <w:r>
        <w:t>Pièce du dossier « chien citoyen de Paris ».</w:t>
      </w:r>
    </w:p>
    <w:p>
      <w:r>
        <w:t>Paris, 29 septembre 2026.</w:t>
      </w:r>
    </w:p>
    <w:p>
      <w:r>
        <w:t>Document de travail du 29 septembre 2026. Rien n'a été voté.</w:t>
      </w:r>
    </w:p>
    <w:p>
      <w:pPr>
        <w:pStyle w:val="Heading1"/>
      </w:pPr>
      <w:r>
        <w:t>Pitch pour un collègue technique</w:t>
      </w:r>
    </w:p>
    <w:p>
      <w:r>
        <w:t>Ce qu'on veut construire, ce qui est dur, et ce qu'on ne sait pas encore.</w:t>
      </w:r>
    </w:p>
    <w:p>
      <w:pPr>
        <w:pStyle w:val="Heading2"/>
      </w:pPr>
      <w:r>
        <w:t>Le produit en trois couches</w:t>
      </w:r>
    </w:p>
    <w:p>
      <w:pPr>
        <w:pStyle w:val="ListNumber"/>
      </w:pPr>
      <w:r>
        <w:rPr>
          <w:b/>
        </w:rPr>
        <w:t>Un registre des chiens parisiens.</w:t>
      </w:r>
      <w:r>
        <w:t xml:space="preserve"> Une fiche par chien :</w:t>
      </w:r>
    </w:p>
    <w:p>
      <w:pPr>
        <w:pStyle w:val="ListBullet"/>
      </w:pPr>
      <w:r>
        <w:t>identifiant I-CAD existant,</w:t>
      </w:r>
    </w:p>
    <w:p>
      <w:pPr>
        <w:pStyle w:val="ListBullet"/>
      </w:pPr>
      <w:r>
        <w:t>empreinte génétique,</w:t>
      </w:r>
    </w:p>
    <w:p>
      <w:pPr>
        <w:pStyle w:val="ListBullet"/>
      </w:pPr>
      <w:r>
        <w:t>propriétaire,</w:t>
      </w:r>
    </w:p>
    <w:p>
      <w:pPr>
        <w:pStyle w:val="ListBullet"/>
      </w:pPr>
      <w:r>
        <w:t>adresse dans Paris,</w:t>
      </w:r>
    </w:p>
    <w:p>
      <w:pPr>
        <w:pStyle w:val="ListBullet"/>
      </w:pPr>
      <w:r>
        <w:t>statut vaccinal,</w:t>
      </w:r>
    </w:p>
    <w:p>
      <w:pPr>
        <w:pStyle w:val="ListBullet"/>
      </w:pPr>
      <w:r>
        <w:t>date d'enregistrement,</w:t>
      </w:r>
    </w:p>
    <w:p>
      <w:pPr>
        <w:pStyle w:val="ListBullet"/>
      </w:pPr>
      <w:r>
        <w:t>statut (à jour / à renouveler / radié).</w:t>
      </w:r>
    </w:p>
    <w:p>
      <w:pPr>
        <w:pStyle w:val="ListNumber"/>
      </w:pPr>
      <w:r>
        <w:rPr>
          <w:b/>
        </w:rPr>
        <w:t>Une chaîne de prélèvement et d'analyse.</w:t>
      </w:r>
    </w:p>
    <w:p>
      <w:pPr>
        <w:pStyle w:val="ListBullet"/>
      </w:pPr>
      <w:r>
        <w:t>Un agent ramasse une déjection non ramassée,</w:t>
      </w:r>
    </w:p>
    <w:p>
      <w:pPr>
        <w:pStyle w:val="ListBullet"/>
      </w:pPr>
      <w:r>
        <w:t>la met dans un tube avec un numéro d'ordre,</w:t>
      </w:r>
    </w:p>
    <w:p>
      <w:pPr>
        <w:pStyle w:val="ListBullet"/>
      </w:pPr>
      <w:r>
        <w:t>la chaîne part au laboratoire,</w:t>
      </w:r>
    </w:p>
    <w:p>
      <w:pPr>
        <w:pStyle w:val="ListBullet"/>
      </w:pPr>
      <w:r>
        <w:t>le laboratoire renvoie un identifiant génétique,</w:t>
      </w:r>
    </w:p>
    <w:p>
      <w:pPr>
        <w:pStyle w:val="ListBullet"/>
      </w:pPr>
      <w:r>
        <w:t>le système cherche la correspondance dans le registre et sort un nom.</w:t>
      </w:r>
    </w:p>
    <w:p>
      <w:r>
        <w:t>Le laboratoire détient la base génétique, la Ville ne détient que la correspondance prélèvement -&gt; propriétaire, pour la durée de l'expérimentation.</w:t>
      </w:r>
    </w:p>
    <w:p>
      <w:pPr>
        <w:pStyle w:val="IntenseQuote"/>
      </w:pPr>
      <w:r>
        <w:t>C'est la contrainte d'architecture principale, pas un détail de conformité : elle décide où vivent les données et qui peut interroger quoi.</w:t>
      </w:r>
    </w:p>
    <w:p>
      <w:pPr>
        <w:pStyle w:val="ListNumber"/>
      </w:pPr>
      <w:r>
        <w:rPr>
          <w:b/>
        </w:rPr>
        <w:t>Une application terrain.</w:t>
      </w:r>
    </w:p>
    <w:p>
      <w:pPr>
        <w:pStyle w:val="ListBullet"/>
      </w:pPr>
      <w:r>
        <w:t>Pour l'agent : numéroter un prélèvement, géolocaliser, photographier, horodater, imprimer ou transmettre l'étiquette.</w:t>
      </w:r>
    </w:p>
    <w:p>
      <w:pPr>
        <w:pStyle w:val="ListBullet"/>
      </w:pPr>
      <w:r>
        <w:t>Pour le propriétaire : s'enregistrer, prendre rendez-vous, télécharger l'attestation, voir ses droits (transports, espaces).</w:t>
      </w:r>
    </w:p>
    <w:p>
      <w:pPr>
        <w:pStyle w:val="ListBullet"/>
      </w:pPr>
      <w:r>
        <w:t>Pour la mairie : compter, suivre les taux d'aboutissement, éditer les chiffres de l'évaluation.</w:t>
      </w:r>
    </w:p>
    <w:p>
      <w:pPr>
        <w:pStyle w:val="Heading2"/>
      </w:pPr>
      <w:r>
        <w:t>Volumes, pour dimensionner</w:t>
      </w:r>
    </w:p>
    <w:p>
      <w:pPr>
        <w:pStyle w:val="ListBullet"/>
      </w:pPr>
      <w:r>
        <w:rPr>
          <w:b/>
        </w:rPr>
        <w:t>Pilote</w:t>
      </w:r>
      <w:r>
        <w:t xml:space="preserve"> : 2 ou 3 arrondissements, environ 9 700 chiens identifiés, 5 000 enregistrés en année 1.</w:t>
      </w:r>
    </w:p>
    <w:p>
      <w:pPr>
        <w:pStyle w:val="ListBullet"/>
      </w:pPr>
      <w:r>
        <w:rPr>
          <w:b/>
        </w:rPr>
        <w:t>Extension</w:t>
      </w:r>
      <w:r>
        <w:t xml:space="preserve"> : 100 000 chiens, soit 100 000 prélèvements buccaux étalés sur deux à quatre ans.</w:t>
      </w:r>
    </w:p>
    <w:p>
      <w:pPr>
        <w:pStyle w:val="ListBullet"/>
      </w:pPr>
      <w:r>
        <w:rPr>
          <w:b/>
        </w:rPr>
        <w:t>Débit vétérinaire</w:t>
      </w:r>
      <w:r>
        <w:t xml:space="preserve"> : à 200 cabinets parisiens, 500 prélèvements par cabinet sur la durée totale. Ce n'est pas un problème de débit, c'est un problème de rendez-vous, de kit et de saisie.</w:t>
      </w:r>
    </w:p>
    <w:p>
      <w:pPr>
        <w:pStyle w:val="ListBullet"/>
      </w:pPr>
      <w:r>
        <w:rPr>
          <w:b/>
        </w:rPr>
        <w:t>Analyses de déjections</w:t>
      </w:r>
      <w:r>
        <w:t xml:space="preserve"> : de l'ordre de 500 par an au démarrage, 2 000 à 3 000 en régime établi.</w:t>
      </w:r>
    </w:p>
    <w:p>
      <w:pPr>
        <w:pStyle w:val="ListBullet"/>
      </w:pPr>
      <w:r>
        <w:rPr>
          <w:b/>
        </w:rPr>
        <w:t>Coût unitaire vérifié</w:t>
      </w:r>
      <w:r>
        <w:t xml:space="preserve"> : 34,10 € HT facturés par le laboratoire de Saint-Omer pour une analyse (source : FAQ de la Ville de Saint-Omer), 60,43 € HT tout compris au coût marginal dans notre modèle. À 500 analyses par an, le coût complet monte à 260 € l'unité ; à 2 000, il descend à 70 €.</w:t>
      </w:r>
    </w:p>
    <w:p>
      <w:pPr>
        <w:pStyle w:val="Heading2"/>
      </w:pPr>
      <w:r>
        <w:t>Ce qu'il faut attaquer en premier, par ordre de risque</w:t>
      </w:r>
    </w:p>
    <w:p>
      <w:pPr>
        <w:pStyle w:val="ListNumber"/>
      </w:pPr>
      <w:r>
        <w:t xml:space="preserve">La </w:t>
      </w:r>
      <w:r>
        <w:rPr>
          <w:b/>
        </w:rPr>
        <w:t>robustesse de l'ADN environnemental</w:t>
      </w:r>
      <w:r>
        <w:t xml:space="preserve"> sur un trottoir. Une crotte ramassée reste-t-elle exploitable après une nuit de pluie, deux jours de soleil, un passage de balayeuse ? Personne ne le documente publiquement. C'est le risque numéro un du projet et il se teste en trois semaines, avec un laboratoire et vingt échantillons déposés dans des conditions contrôlées.</w:t>
      </w:r>
    </w:p>
    <w:p>
      <w:pPr>
        <w:pStyle w:val="ListNumber"/>
      </w:pPr>
      <w:r>
        <w:rPr>
          <w:b/>
        </w:rPr>
        <w:t>Le mélange et la contamination.</w:t>
      </w:r>
      <w:r>
        <w:t xml:space="preserve"> Deux chiens sur le même trottoir, un prélèvement pris à la pince : quel taux de lecture, quel taux de fausse attribution ? La conséquence juridique d'une fausse attribution est un contentieux, pas une réclamation.</w:t>
      </w:r>
    </w:p>
    <w:p>
      <w:pPr>
        <w:pStyle w:val="ListNumber"/>
      </w:pPr>
      <w:r>
        <w:rPr>
          <w:b/>
        </w:rPr>
        <w:t>La chaîne de preuve.</w:t>
      </w:r>
    </w:p>
    <w:p>
      <w:pPr>
        <w:pStyle w:val="IntenseQuote"/>
      </w:pPr>
      <w:r>
        <w:t>Un prélèvement qui n'est pas traçable ne vaut rien devant un juge.</w:t>
      </w:r>
    </w:p>
    <w:p>
      <w:r>
        <w:t>Il faut :</w:t>
      </w:r>
    </w:p>
    <w:p>
      <w:pPr>
        <w:pStyle w:val="ListBullet"/>
      </w:pPr>
      <w:r>
        <w:t>un numéro unique,</w:t>
      </w:r>
    </w:p>
    <w:p>
      <w:pPr>
        <w:pStyle w:val="ListBullet"/>
      </w:pPr>
      <w:r>
        <w:t>un scellé,</w:t>
      </w:r>
    </w:p>
    <w:p>
      <w:pPr>
        <w:pStyle w:val="ListBullet"/>
      </w:pPr>
      <w:r>
        <w:t>un horodatage,</w:t>
      </w:r>
    </w:p>
    <w:p>
      <w:pPr>
        <w:pStyle w:val="ListBullet"/>
      </w:pPr>
      <w:r>
        <w:t>un accusé de réception du laboratoire et une durée de conservation décidée à l'avance.</w:t>
      </w:r>
    </w:p>
    <w:p>
      <w:pPr>
        <w:pStyle w:val="ListNumber"/>
      </w:pPr>
      <w:r>
        <w:rPr>
          <w:b/>
        </w:rPr>
        <w:t>Le délai de rendu.</w:t>
      </w:r>
      <w:r>
        <w:t xml:space="preserve"> Un propriétaire doit savoir dans quel délai la contravention peut tomber. Si le laboratoire rend en six semaines, l'effet pédagogique disparaît.</w:t>
      </w:r>
    </w:p>
    <w:p>
      <w:pPr>
        <w:pStyle w:val="ListNumber"/>
      </w:pPr>
      <w:r>
        <w:rPr>
          <w:b/>
        </w:rPr>
        <w:t>La conformité.</w:t>
      </w:r>
    </w:p>
    <w:p>
      <w:pPr>
        <w:pStyle w:val="ListBullet"/>
      </w:pPr>
      <w:r>
        <w:t>Analyse d'impact relative à la protection des données,</w:t>
      </w:r>
    </w:p>
    <w:p>
      <w:pPr>
        <w:pStyle w:val="ListBullet"/>
      </w:pPr>
      <w:r>
        <w:t>registre des traitements,</w:t>
      </w:r>
    </w:p>
    <w:p>
      <w:pPr>
        <w:pStyle w:val="ListBullet"/>
      </w:pPr>
      <w:r>
        <w:t>durée de conservation,</w:t>
      </w:r>
    </w:p>
    <w:p>
      <w:pPr>
        <w:pStyle w:val="ListBullet"/>
      </w:pPr>
      <w:r>
        <w:t>information des personnes,</w:t>
      </w:r>
    </w:p>
    <w:p>
      <w:pPr>
        <w:pStyle w:val="ListBullet"/>
      </w:pPr>
      <w:r>
        <w:t>et la question du fichier de personnes morales ou physiques qui n'existe pas encore.</w:t>
      </w:r>
    </w:p>
    <w:p>
      <w:r>
        <w:t>Béziers a perdu sur la preuve de nécessité, pas sur la technique, mais la LDH attaque aussi sur les données.</w:t>
      </w:r>
    </w:p>
    <w:p>
      <w:pPr>
        <w:pStyle w:val="Heading2"/>
      </w:pPr>
      <w:r>
        <w:t>Ce qu'on ne sait pas, et qu'il faut dire avant de coder</w:t>
      </w:r>
    </w:p>
    <w:p>
      <w:pPr>
        <w:pStyle w:val="ListBullet"/>
      </w:pPr>
      <w:r>
        <w:t>Combien de chiens vivent réellement à Paris : 100 000 selon la Ville, 300 000 selon le chiffre qui circule. Tout le dimensionnement change d'un facteur trois.</w:t>
      </w:r>
    </w:p>
    <w:p>
      <w:pPr>
        <w:pStyle w:val="ListBullet"/>
      </w:pPr>
      <w:r>
        <w:t>Quel taux d'aboutissement est atteignable. Notre seuil d'autofinancement est de 20 % des analyses abouties pour couvrir le coût marginal, 33 % pour le coût complet. Ce sont des calculs.</w:t>
      </w:r>
    </w:p>
    <w:p>
      <w:pPr>
        <w:pStyle w:val="ListBullet"/>
      </w:pPr>
      <w:r>
        <w:t>Le temps agent par prélèvement (20 minutes dans notre modèle, 8 € au coût marginal) : à mesurer.</w:t>
      </w:r>
    </w:p>
    <w:p>
      <w:pPr>
        <w:pStyle w:val="ListBullet"/>
      </w:pPr>
      <w:r>
        <w:t>Les capacités réelles des laboratoires sur ce volume, et leurs délais.</w:t>
      </w:r>
    </w:p>
    <w:p>
      <w:pPr>
        <w:pStyle w:val="Heading2"/>
      </w:pPr>
      <w:r>
        <w:t>Le test à trente jours, sans budget</w:t>
      </w:r>
    </w:p>
    <w:p>
      <w:pPr>
        <w:pStyle w:val="ListNumber"/>
      </w:pPr>
      <w:r>
        <w:t>Compter les déjections sur un périmètre de dix rues pendant deux semaines, matin et soir, avec un protocole écrit et deux compteurs. C'est ce que le tribunal a reproché à Béziers de ne pas avoir.</w:t>
      </w:r>
    </w:p>
    <w:p>
      <w:pPr>
        <w:pStyle w:val="ListNumber"/>
      </w:pPr>
      <w:r>
        <w:t>Demander des devis à trois laboratoires (Antagene, Genindexe, Animagene) sur 500, 2 000 et 5 000 analyses, avec délai, taux de réussite annoncé et conditions de conservation.</w:t>
      </w:r>
    </w:p>
    <w:p>
      <w:pPr>
        <w:pStyle w:val="ListNumber"/>
      </w:pPr>
      <w:r>
        <w:t>Demander les pièces du marché de Saint-Omer et le bilan de Reims : documents administratifs communicables, réponse en un mois.</w:t>
      </w:r>
    </w:p>
    <w:p>
      <w:pPr>
        <w:pStyle w:val="ListNumber"/>
      </w:pPr>
      <w:r>
        <w:t>Déposer vingt échantillons témoins dans trois conditions (soleil, pluie simulée, deux jours d'attente) et faire analyser.</w:t>
      </w:r>
    </w:p>
    <w:p>
      <w:pPr>
        <w:pStyle w:val="Heading2"/>
      </w:pPr>
      <w:r>
        <w:t>Ce qu'il me faut de toi</w:t>
      </w:r>
    </w:p>
    <w:p>
      <w:r>
        <w:t>Deux personnes et un cahier des charges de données :</w:t>
      </w:r>
    </w:p>
    <w:p>
      <w:pPr>
        <w:pStyle w:val="ListBullet"/>
      </w:pPr>
      <w:r>
        <w:t>quelqu'un qui sait interroger un laboratoire de génétique et lire un protocole de prélèvement,</w:t>
      </w:r>
    </w:p>
    <w:p>
      <w:pPr>
        <w:pStyle w:val="ListBullet"/>
      </w:pPr>
      <w:r>
        <w:t>quelqu'un qui sait faire un registre avec des droits d'accès et une analyse d'impact.</w:t>
      </w:r>
    </w:p>
    <w:p>
      <w:r>
        <w:t>Le reste, comptage, dossier, courriers administratifs, je m'en occupe.</w:t>
      </w:r>
    </w:p>
    <w:p>
      <w:r>
        <w:t>Le budget d'entrée du test est de zéro euro ; le premier vrai poste de dépense est le laboratoire, et il n'a lieu qu'après le comptage et les devis.</w:t>
      </w:r>
    </w:p>
    <w:p>
      <w:r>
        <w:t>Détail des coûts : /root/chiens-paris/ADN-COUTS-FAISABILITE.md et section 7 du rapport complet.</w:t>
      </w:r>
    </w:p>
    <w:p>
      <w:r>
        <w:t>Ce qui est prouvé, ville par ville : /root/chiens-paris/AUDIT-SOURCES.md.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