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Rapport complet et chiffrage</w:t>
      </w:r>
    </w:p>
    <w:p>
      <w:pPr>
        <w:jc w:val="left"/>
      </w:pPr>
      <w:r>
        <w:t>Pièce du dossier « chien citoyen de Paris ».</w:t>
      </w:r>
    </w:p>
    <w:p>
      <w:r>
        <w:t>Paris, 29 septembre 2026.</w:t>
      </w:r>
    </w:p>
    <w:p>
      <w:r>
        <w:t>Document de travail du 29 septembre 2026. Rien n'a été voté.</w:t>
      </w:r>
    </w:p>
    <w:p>
      <w:pPr>
        <w:pStyle w:val="Heading1"/>
      </w:pPr>
      <w:r>
        <w:t>RAPPORT — Un projet politique « chiens de Paris » : statut du chien citoyen, registre ADN, droits et chiffrage</w:t>
      </w:r>
    </w:p>
    <w:p>
      <w:r>
        <w:t>Version du 29 septembre 2026. Rédigé pour Pierre Tsia.</w:t>
      </w:r>
    </w:p>
    <w:p>
      <w:r>
        <w:t>[E] = estimation ou calcul de l'auteur. Tout le reste est sourcé (sources en annexe D).</w:t>
      </w:r>
    </w:p>
    <w:p/>
    <w:p>
      <w:pPr>
        <w:pStyle w:val="Heading2"/>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2"/>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2"/>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2"/>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2"/>
      </w:pPr>
      <w:r>
        <w:t>5. La faisabilité juridique</w:t>
      </w:r>
    </w:p>
    <w:p>
      <w:pPr>
        <w:pStyle w:val="Heading3"/>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3"/>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3"/>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2"/>
      </w:pPr>
      <w:r>
        <w:t>6. Le dispositif : architecture du statut</w:t>
      </w:r>
    </w:p>
    <w:p>
      <w:pPr>
        <w:pStyle w:val="Heading3"/>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3"/>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3"/>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3"/>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2"/>
      </w:pPr>
      <w:r>
        <w:t>7. CHIFFRAGE — le coût d'analyser une crotte sur un trottoir</w:t>
      </w:r>
    </w:p>
    <w:p>
      <w:pPr>
        <w:pStyle w:val="Heading3"/>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3"/>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3"/>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3"/>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3"/>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3"/>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3"/>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3"/>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3"/>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2"/>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2"/>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2"/>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2"/>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2"/>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2"/>
      </w:pPr>
      <w:r>
        <w:t>12. Partenariats à l'échelle de Paris, et ce qu'un dispositif qui réussit peut financer</w:t>
      </w:r>
    </w:p>
    <w:p>
      <w:pPr>
        <w:pStyle w:val="Heading3"/>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3"/>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3"/>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3"/>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3"/>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3"/>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2"/>
      </w:pPr>
      <w:r>
        <w:t>Annexe A — Projet d'arrêté et règlement du statut</w:t>
      </w:r>
    </w:p>
    <w:p>
      <w:r>
        <w:t>Voir le document complet : /root/chiens-paris/PROJET-ARRETE-STATUT-CHIEN-CITOYEN.md (10 articles d'arrêté, 6 articles de règlement, parcours du détenteur en 5 étapes, maquette de données RGPD).</w:t>
      </w:r>
    </w:p>
    <w:p>
      <w:pPr>
        <w:pStyle w:val="Heading2"/>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2"/>
      </w:pPr>
      <w:r>
        <w:t>Annexe C — Protocole de comptage des déjections (pièce manquante à Béziers)</w:t>
      </w:r>
    </w:p>
    <w:p>
      <w:pPr>
        <w:pStyle w:val="ListBullet"/>
      </w:pPr>
      <w:r>
        <w:t>Périmètre : définir des segments homogènes (par exemple 20 tronçons de 300 m dans le 20e), représentatifs des voies les plus fréquentées.</w:t>
      </w:r>
    </w:p>
    <w:p>
      <w:pPr>
        <w:pStyle w:val="ListBullet"/>
      </w:pPr>
      <w:r>
        <w:t>Fréquence : deux passages par semaine, sur six semaines minimum, aux mêmes heures, par deux observateurs distincts.</w:t>
      </w:r>
    </w:p>
    <w:p>
      <w:pPr>
        <w:pStyle w:val="ListBullet"/>
      </w:pPr>
      <w:r>
        <w:t>Relevé : date, heure, tronçon, nombre de déjections, position (trottoir, chaussée, entrée d'immeuble), photo horodatée, agent identifié.</w:t>
      </w:r>
    </w:p>
    <w:p>
      <w:pPr>
        <w:pStyle w:val="ListBullet"/>
      </w:pPr>
      <w:r>
        <w:t>Compléments : extractions DansMaRue sur le secteur, courriers de signalement d'habitants et de commerçants.</w:t>
      </w:r>
    </w:p>
    <w:p>
      <w:pPr>
        <w:pStyle w:val="ListBullet"/>
      </w:pPr>
      <w:r>
        <w:t>Livrable : tableau avant/après, méthode publiée, résultat présentable au conseil d'arrondissement et opposable en cas de contentieux. Coût : zéro euro, du temps bénévole.</w:t>
      </w:r>
    </w:p>
    <w:p>
      <w:pPr>
        <w:pStyle w:val="Heading2"/>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2"/>
      </w:pPr>
      <w:r>
        <w:t>Annexe E — Sources vérifiées, avec URL</w:t>
      </w:r>
    </w:p>
    <w:p>
      <w:r>
        <w:t>Vérification du 29 septembre 2026. Toutes ces pages ont été ouvertes ; les citations exactes sont dans l'audit séparé (/root/chiens-paris/AUDIT-SOURCES.md).</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