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4"/>
    <w:p>
      <w:pPr>
        <w:pStyle w:val="Heading1"/>
      </w:pPr>
      <w:r>
        <w:t xml:space="preserve">SelfRecover — Whitepaper v1.4</w:t>
      </w:r>
    </w:p>
    <w:p>
      <w:pPr>
        <w:pStyle w:val="FirstParagraph"/>
      </w:pPr>
      <w:r>
        <w:rPr>
          <w:b/>
          <w:bCs/>
        </w:rPr>
        <w:t xml:space="preserve">Protocole de récupération de compte sans email</w:t>
      </w:r>
      <w:r>
        <w:t xml:space="preserve"> </w:t>
      </w:r>
      <w:r>
        <w:rPr>
          <w:i/>
          <w:iCs/>
        </w:rPr>
        <w:t xml:space="preserve">Ton mot. Tes sites. Sans email.</w:t>
      </w:r>
    </w:p>
    <w:p>
      <w:pPr>
        <w:pStyle w:val="BodyText"/>
      </w:pPr>
      <w:r>
        <w:rPr>
          <w:i/>
          <w:iCs/>
        </w:rPr>
        <w:t xml:space="preserve">Édition du 6 octobre 2026 — v1.4 — décrit SelfRecover 0.11.0</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supprimer le canal email (mode</w:t>
      </w:r>
      <w:r>
        <w:t xml:space="preserve"> </w:t>
      </w:r>
      <w:r>
        <w:rPr>
          <w:b/>
          <w:bCs/>
        </w:rPr>
        <w:t xml:space="preserve">Full</w:t>
      </w:r>
      <w:r>
        <w:t xml:space="preserve">, le seul implémenté). Un mode</w:t>
      </w:r>
      <w:r>
        <w:t xml:space="preserve"> </w:t>
      </w:r>
      <w:r>
        <w:rPr>
          <w:b/>
          <w:bCs/>
        </w:rPr>
        <w:t xml:space="preserve">Lite</w:t>
      </w:r>
      <w:r>
        <w:t xml:space="preserve">, qui le gardait en option, a été montré en démonstration en v0.1.1 ; cette démonstration a été retirée le 18 août 2026. Publié en avril 2026 (v0.1.0), sous AGPL-3.0-or-later depuis le 19 avril 2026.</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dériveur livré ne fait sortir du navigateur que l’empreinte du mot de récupération, et le serveur n’en range qu’un hachage Argon2id, propre au service et au compte (ce qui empêche la corrélation des empreintes entre services). Le mot de passe et la passphrase, eux, passent par le serveur : il engendre le mot de passe, sauf au niveau 3 où l’utilisateur le choisit, et la passphrase quand l’utilisateur n’apporte pas la sienne.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Pourquoi un site web a-t-il besoin d’un email pour établir qu’on est soi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par le serveur, ou aux dés par l’utilisateur pour la passphrase (§5.5)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dans le navigateur. Avec le dériveur livré, le mot brut n’atteint pas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le mot de passe de connexion</w:t>
      </w:r>
    </w:p>
    <w:p>
      <w:pPr>
        <w:pStyle w:val="Compact"/>
        <w:numPr>
          <w:ilvl w:val="0"/>
          <w:numId w:val="1002"/>
        </w:numPr>
      </w:pPr>
      <w:r>
        <w:rPr>
          <w:rStyle w:val="VerbatimChar"/>
        </w:rPr>
        <w:t xml:space="preserve">Argon2id(passphrase)</w:t>
      </w:r>
      <w:r>
        <w:t xml:space="preserve"> </w:t>
      </w:r>
      <w:r>
        <w:t xml:space="preserve">— une passphrase diceware, engendrée côté serveur ou apportée par l’utilisateur, tirée aux dés (§5.5) (6 mots au moins, ≈ 77,5 bits pour six mots tirés uniformément ; une passphrase plus courte, émise avant le passage à six mots, reste valide jusqu’à son usage)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Compact"/>
        <w:numPr>
          <w:ilvl w:val="0"/>
          <w:numId w:val="1002"/>
        </w:numPr>
      </w:pPr>
      <w:r>
        <w:t xml:space="preserve">les 10 codes de récupération du premier lot, chacun sous deux formes (§5.4)</w:t>
      </w:r>
    </w:p>
    <w:p>
      <w:pPr>
        <w:pStyle w:val="FirstParagraph"/>
      </w:pPr>
      <w:r>
        <w:t xml:space="preserve">Toutes les empreintes Argon2id du serveur (</w:t>
      </w:r>
      <w:r>
        <w:rPr>
          <w:rStyle w:val="VerbatimChar"/>
        </w:rPr>
        <w:t xml:space="preserve">Hashing::hash</w:t>
      </w:r>
      <w:r>
        <w:t xml:space="preserve">) suivent un seul profil : 64 Mio, 4 itérations, 2 fils (</w:t>
      </w:r>
      <w:r>
        <w:rPr>
          <w:rStyle w:val="VerbatimChar"/>
        </w:rPr>
        <w:t xml:space="preserve">Hashing::ARGON2</w:t>
      </w:r>
      <w:r>
        <w:t xml:space="preserve">). Les codes portent en plus un index HMAC sous le sel du déploiement (§5.4), et le code de suivi du niveau 3 une empreinte SHA-256.</w:t>
      </w:r>
    </w:p>
    <w:p>
      <w:pPr>
        <w:pStyle w:val="BodyText"/>
      </w:pPr>
      <w:r>
        <w:t xml:space="preserve">L’utilisateur reçoit la passphrase et ses codes une seule fois, et les conserve sur papier, hors ligne.</w:t>
      </w:r>
    </w:p>
    <w:bookmarkEnd w:id="24"/>
    <w:bookmarkStart w:id="25" w:name="authentification"/>
    <w:p>
      <w:pPr>
        <w:pStyle w:val="Heading3"/>
      </w:pPr>
      <w:r>
        <w:t xml:space="preserve">3.2 Authentification</w:t>
      </w:r>
    </w:p>
    <w:p>
      <w:pPr>
        <w:pStyle w:val="FirstParagraph"/>
      </w:pPr>
      <w:r>
        <w:t xml:space="preserve">La connexion ordinaire appartient à l’application : la bibliothèque n’en fournit pas. Elle exige seulement de pouvoir révoquer les sessions d’un compte (</w:t>
      </w:r>
      <w:r>
        <w:rPr>
          <w:rStyle w:val="VerbatimChar"/>
        </w:rPr>
        <w:t xml:space="preserve">revoquerSessions()</w:t>
      </w:r>
      <w:r>
        <w:t xml:space="preserve">), ce que fait chaque récupération réussie.</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Nom du compte + passphrase diceware</w:t>
            </w:r>
          </w:p>
        </w:tc>
        <w:tc>
          <w:tcPr/>
          <w:p>
            <w:pPr>
              <w:pStyle w:val="Compact"/>
              <w:jc w:val="left"/>
            </w:pPr>
            <w:r>
              <w:t xml:space="preserve">Nouveau mot de passe et nouvelle passphrase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 et nouvelle passphrase</w:t>
            </w:r>
          </w:p>
        </w:tc>
      </w:tr>
      <w:tr>
        <w:tc>
          <w:tcPr/>
          <w:p>
            <w:pPr>
              <w:pStyle w:val="Compact"/>
              <w:jc w:val="left"/>
            </w:pPr>
            <w:r>
              <w:rPr>
                <w:b/>
                <w:bCs/>
              </w:rPr>
              <w:t xml:space="preserve">L2, voie appareil</w:t>
            </w:r>
          </w:p>
        </w:tc>
        <w:tc>
          <w:tcPr/>
          <w:p>
            <w:pPr>
              <w:pStyle w:val="Compact"/>
              <w:jc w:val="left"/>
            </w:pPr>
            <w:r>
              <w:t xml:space="preserve">Appareil enrôlé + mot de récupération</w:t>
            </w:r>
          </w:p>
        </w:tc>
        <w:tc>
          <w:tcPr/>
          <w:p>
            <w:pPr>
              <w:pStyle w:val="Compact"/>
              <w:jc w:val="left"/>
            </w:pPr>
            <w:r>
              <w:t xml:space="preserve">Nouveau mot de passe ; passphrase et codes inchangés</w:t>
            </w:r>
          </w:p>
        </w:tc>
      </w:tr>
      <w:tr>
        <w:tc>
          <w:tcPr/>
          <w:p>
            <w:pPr>
              <w:pStyle w:val="Compact"/>
              <w:jc w:val="left"/>
            </w:pPr>
            <w:r>
              <w:rPr>
                <w:b/>
                <w:bCs/>
              </w:rPr>
              <w:t xml:space="preserve">L3</w:t>
            </w:r>
          </w:p>
        </w:tc>
        <w:tc>
          <w:tcPr/>
          <w:p>
            <w:pPr>
              <w:pStyle w:val="Compact"/>
              <w:jc w:val="left"/>
            </w:pPr>
            <w:r>
              <w:t xml:space="preserve">Nom du compte + réponses de contexte</w:t>
            </w:r>
          </w:p>
        </w:tc>
        <w:tc>
          <w:tcPr/>
          <w:p>
            <w:pPr>
              <w:pStyle w:val="Compact"/>
              <w:jc w:val="left"/>
            </w:pPr>
            <w:r>
              <w:t xml:space="preserve">Faits bruts pour un arbitre humain ; en cas d’accord, l’utilisateur choisit son mot de passe et son mot mémorisé, le serveur émet 10 codes neufs et une passphrase neuve, tirée ou apportée, et retire les appareils enrôlés</w:t>
            </w:r>
          </w:p>
        </w:tc>
      </w:tr>
    </w:tbl>
    <w:p>
      <w:r>
        <w:pict>
          <v:rect style="width:0;height:1.5pt" o:hralign="center" o:hrstd="t" o:hr="t"/>
        </w:pict>
      </w:r>
    </w:p>
    <w:bookmarkEnd w:id="26"/>
    <w:bookmarkEnd w:id="27"/>
    <w:bookmarkStart w:id="30"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abrégée de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 ; vide, il lève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mot donne une empreinte différente pour chaque compte (le sel) et pour chaque matériel : chaque nom d’hôte en mode</w:t>
      </w:r>
      <w:r>
        <w:t xml:space="preserve"> </w:t>
      </w:r>
      <w:r>
        <w:rPr>
          <w:rStyle w:val="VerbatimChar"/>
        </w:rPr>
        <w:t xml:space="preserve">'hostname'</w:t>
      </w:r>
      <w:r>
        <w:t xml:space="preserve">, chaque label en mode</w:t>
      </w:r>
      <w:r>
        <w:t xml:space="preserve"> </w:t>
      </w:r>
      <w:r>
        <w:rPr>
          <w:rStyle w:val="VerbatimChar"/>
        </w:rPr>
        <w:t xml:space="preserve">'label'</w:t>
      </w:r>
    </w:p>
    <w:p>
      <w:pPr>
        <w:pStyle w:val="Compact"/>
        <w:numPr>
          <w:ilvl w:val="0"/>
          <w:numId w:val="1003"/>
        </w:numPr>
      </w:pPr>
      <w:r>
        <w:t xml:space="preserve">Avec le dériveur livré, le mot brut ne quitte pas le navigateur</w:t>
      </w:r>
    </w:p>
    <w:p>
      <w:pPr>
        <w:pStyle w:val="Compact"/>
        <w:numPr>
          <w:ilvl w:val="0"/>
          <w:numId w:val="1003"/>
        </w:numPr>
      </w:pPr>
      <w:r>
        <w:t xml:space="preserve">Le serveur ne reçoit que la clé dérivée. C’est lui qui sert le dériveur : un serveur compromis pourrait servir une autre page (§10.2)</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bookmarkEnd w:id="28"/>
    <w:bookmarkStart w:id="29" w:name="la-route-du-sel-elle-répond-toujours"/>
    <w:p>
      <w:pPr>
        <w:pStyle w:val="Heading3"/>
      </w:pPr>
      <w:r>
        <w:t xml:space="preserve">4.2 La route du sel — elle répond toujours</w:t>
      </w:r>
    </w:p>
    <w:p>
      <w:pPr>
        <w:pStyle w:val="FirstParagraph"/>
      </w:pPr>
      <w:r>
        <w:t xml:space="preserve">Au niveau 2, le navigateur dérive avant que le compte soit identifié : c’est le code qui l’identifie. Il lui faut donc d’abord le sel du compte, qu’il demande en présentant le code, sur une route publique et sans authentification. Elle répond</w:t>
      </w:r>
      <w:r>
        <w:t xml:space="preserve"> </w:t>
      </w:r>
      <w:r>
        <w:rPr>
          <w:b/>
          <w:bCs/>
        </w:rPr>
        <w:t xml:space="preserve">toujours</w:t>
      </w:r>
      <w:r>
        <w:t xml:space="preserve"> </w:t>
      </w:r>
      <w:r>
        <w:t xml:space="preserve">un sel : celui du compte pour un code connu, consommé ou non ; sinon un faux, de même forme, stable d’un essai à l’autre, tiré du sel du déploiement et calculé dans les deux cas. Une route qui refuserait un code inconnu permettrait d’éprouver les codes au prix d’une requête, sans payer un seul Argon2id.</w:t>
      </w:r>
    </w:p>
    <w:p>
      <w:pPr>
        <w:pStyle w:val="BodyText"/>
      </w:pPr>
      <w:r>
        <w:t xml:space="preserve">La bibliothèque n’expose pas de route ; elle fournit la garde,</w:t>
      </w:r>
      <w:r>
        <w:t xml:space="preserve"> </w:t>
      </w:r>
      <w:r>
        <w:rPr>
          <w:rStyle w:val="VerbatimChar"/>
        </w:rPr>
        <w:t xml:space="preserve">Recovery::selDeDerivation($code)</w:t>
      </w:r>
      <w:r>
        <w:t xml:space="preserve">, et l’interface facultative</w:t>
      </w:r>
      <w:r>
        <w:t xml:space="preserve"> </w:t>
      </w:r>
      <w:r>
        <w:rPr>
          <w:rStyle w:val="VerbatimChar"/>
        </w:rPr>
        <w:t xml:space="preserve">SelParCodeInterface</w:t>
      </w:r>
      <w:r>
        <w:t xml:space="preserve">, que seul le stockage qui sert cette route doit implémenter.</w:t>
      </w:r>
    </w:p>
    <w:p>
      <w:r>
        <w:pict>
          <v:rect style="width:0;height:1.5pt" o:hralign="center" o:hrstd="t" o:hr="t"/>
        </w:pict>
      </w:r>
    </w:p>
    <w:bookmarkEnd w:id="29"/>
    <w:bookmarkEnd w:id="30"/>
    <w:bookmarkStart w:id="36" w:name="escalade-de-récupération-en-3-niveaux"/>
    <w:p>
      <w:pPr>
        <w:pStyle w:val="Heading2"/>
      </w:pPr>
      <w:r>
        <w:t xml:space="preserve">5. Escalade de récupération en 3 niveaux</w:t>
      </w:r>
    </w:p>
    <w:bookmarkStart w:id="31" w:name="niveau-1-mot-de-passe-oublié"/>
    <w:p>
      <w:pPr>
        <w:pStyle w:val="Heading3"/>
      </w:pPr>
      <w:r>
        <w:t xml:space="preserve">5.1 Niveau 1 — Mot de passe oublié</w:t>
      </w:r>
    </w:p>
    <w:p>
      <w:pPr>
        <w:pStyle w:val="Compact"/>
        <w:numPr>
          <w:ilvl w:val="0"/>
          <w:numId w:val="1004"/>
        </w:numPr>
      </w:pPr>
      <w:r>
        <w:t xml:space="preserve">L’utilisateur fournit : le nom du compte + la passphrase diceware (exacte, aux espaces près ; le nom est mis en minuscules)</w:t>
      </w:r>
    </w:p>
    <w:p>
      <w:pPr>
        <w:pStyle w:val="Compact"/>
        <w:numPr>
          <w:ilvl w:val="0"/>
          <w:numId w:val="1004"/>
        </w:numPr>
      </w:pPr>
      <w:r>
        <w:t xml:space="preserve">En cas de succès : un mot de passe</w:t>
      </w:r>
      <w:r>
        <w:t xml:space="preserve"> </w:t>
      </w:r>
      <w:r>
        <w:rPr>
          <w:b/>
          <w:bCs/>
        </w:rPr>
        <w:t xml:space="preserve">et</w:t>
      </w:r>
      <w:r>
        <w:t xml:space="preserve"> </w:t>
      </w:r>
      <w:r>
        <w:t xml:space="preserve">une passphrase neufs, rendus une seule fois ; l’ancienne passphrase ne vaut plus rien et les sessions ouvertes tombent. Le mot mémorisé et les appareils enrôlés ne changent pas. L’âge de la passphrase qui vient de servir est rendu : il informe, il ne refuse jamais</w:t>
      </w:r>
    </w:p>
    <w:p>
      <w:pPr>
        <w:pStyle w:val="Compact"/>
        <w:numPr>
          <w:ilvl w:val="0"/>
          <w:numId w:val="1004"/>
        </w:numPr>
      </w:pPr>
      <w:r>
        <w:t xml:space="preserve">L’affichage (masqué par défaut, confirmation</w:t>
      </w:r>
      <w:r>
        <w:t xml:space="preserve"> </w:t>
      </w:r>
      <w:r>
        <w:rPr>
          <w:rStyle w:val="VerbatimChar"/>
        </w:rPr>
        <w:t xml:space="preserve">"J'ai noté"</w:t>
      </w:r>
      <w:r>
        <w:t xml:space="preserve">) relève de la page</w:t>
      </w:r>
    </w:p>
    <w:p>
      <w:pPr>
        <w:pStyle w:val="Compact"/>
        <w:numPr>
          <w:ilvl w:val="0"/>
          <w:numId w:val="1004"/>
        </w:numPr>
      </w:pPr>
      <w:r>
        <w:t xml:space="preserve">Rate limit : 12 échecs / 15 minutes par adresse (valeurs par défaut, réglées par l’intégrateur), et</w:t>
      </w:r>
      <w:r>
        <w:t xml:space="preserve"> </w:t>
      </w:r>
      <w:r>
        <w:rPr>
          <w:b/>
          <w:bCs/>
        </w:rPr>
        <w:t xml:space="preserve">aucun frein par compte</w:t>
      </w:r>
      <w:r>
        <w:t xml:space="preserve">. Il y en avait un, et n’importe qui le remplissait : son compteur vit dans une table que l’intégrateur partage avec sa propre page de connexion, donc cinq échecs sous le nom d’un tiers fermaient la seule voie qu’un titulaire puisse emprunter seul. La règle retenue est que</w:t>
      </w:r>
      <w:r>
        <w:t xml:space="preserve"> </w:t>
      </w:r>
      <w:r>
        <w:rPr>
          <w:b/>
          <w:bCs/>
        </w:rPr>
        <w:t xml:space="preserve">le frein ne refuse jamais le bon secret</w:t>
      </w:r>
      <w:r>
        <w:t xml:space="preserve"> </w:t>
      </w:r>
      <w:r>
        <w:t xml:space="preserve">; le compteur subsiste et n’alimente plus qu’un signal. Le frein par adresse n’existe que sous le profil de déploiement</w:t>
      </w:r>
      <w:r>
        <w:t xml:space="preserve"> </w:t>
      </w:r>
      <w:r>
        <w:rPr>
          <w:rStyle w:val="VerbatimChar"/>
        </w:rPr>
        <w:t xml:space="preserve">clearweb</w:t>
      </w:r>
      <w:r>
        <w:t xml:space="preserve"> </w:t>
      </w:r>
      <w:r>
        <w:t xml:space="preserve">: derrière un service caché, rien ne borne le nombre d’essais, et lisser le débit de la route appartient au déploiement (§10). Le profil est obligatoire, sans défaut</w:t>
      </w:r>
    </w:p>
    <w:p>
      <w:pPr>
        <w:pStyle w:val="Compact"/>
        <w:numPr>
          <w:ilvl w:val="0"/>
          <w:numId w:val="1004"/>
        </w:numPr>
      </w:pPr>
      <w:r>
        <w:t xml:space="preserve">Classement silencieux : un essai dont</w:t>
      </w:r>
      <w:r>
        <w:t xml:space="preserve"> </w:t>
      </w:r>
      <w:r>
        <w:rPr>
          <w:b/>
          <w:bCs/>
        </w:rPr>
        <w:t xml:space="preserve">tous les mots existent</w:t>
      </w:r>
      <w:r>
        <w:t xml:space="preserve"> </w:t>
      </w:r>
      <w:r>
        <w:t xml:space="preserve">dans les listes, devant une porte qui ne s’ouvre pas, est compté à part. Au-delà de 3 essais de cette sorte dans la fenêtre, le refus porte une clé que le déploiement peut lire. Le message, le délai et le nombre d’essais ne changent pas, et les listes étant publiques, cela n’apprend rien à qui attaque. Il informe, il ne décide d’aucun accès</w:t>
      </w:r>
    </w:p>
    <w:p>
      <w:pPr>
        <w:pStyle w:val="Compact"/>
        <w:numPr>
          <w:ilvl w:val="0"/>
          <w:numId w:val="1004"/>
        </w:numPr>
      </w:pPr>
      <w:r>
        <w:t xml:space="preserve">Anti-bot : hors de portée de la bibliothèque — le champ honeypot et le contrôle de timing vivent sur la page</w:t>
      </w:r>
    </w:p>
    <w:bookmarkEnd w:id="31"/>
    <w:bookmarkStart w:id="32"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(avec le dériveur livré, le mot brut ne quitte pas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le code est consommé ; le serveur engendre un mot de passe neuf, et une passphrase neuve si l’utilisateur n’apporte pas la sienne (§5.5) ; les deux sont rendus une seule fois, et les sessions ouvertes tombent. Il rend aussi le nom du compte et le nombre de codes restants.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Le niveau 2 ne demande aucun identifiant, mais le code qu’il reçoit nomme son compte, et c’est ce que compte son frein par compte : une fenêtre courte (5 échecs en 15 minutes par défaut), puis, après 20 échecs depuis le dernier réarmement, la suspension de la récupération par code pour ce compte. Elle se lève par un lot de codes neuf — le niveau 3 en émet un —, par une récupération par code réussie, ou par une récupération par passphrase réussie. Ce refus-là nomme son état, sinon le titulaire ne saurait pas quoi faire ; il apprend donc à qui détient déjà un code de ce compte que ce code vise un compte réel. Le compteur par adresse s’y ajoute sous le profil</w:t>
      </w:r>
      <w:r>
        <w:t xml:space="preserve"> </w:t>
      </w:r>
      <w:r>
        <w:rPr>
          <w:rStyle w:val="VerbatimChar"/>
        </w:rPr>
        <w:t xml:space="preserve">clearweb</w:t>
      </w:r>
      <w:r>
        <w:t xml:space="preserve">. C’est la personne qui décide d’ouvrir un dossier.</w:t>
      </w:r>
    </w:p>
    <w:bookmarkEnd w:id="32"/>
    <w:bookmarkStart w:id="33"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le nom de son compte (celui du niveau 1) ; son navigateur génère un</w:t>
      </w:r>
      <w:r>
        <w:t xml:space="preserve"> </w:t>
      </w:r>
      <w:r>
        <w:rPr>
          <w:b/>
          <w:bCs/>
        </w:rPr>
        <w:t xml:space="preserve">code de suivi</w:t>
      </w:r>
      <w:r>
        <w:t xml:space="preserve"> </w:t>
      </w:r>
      <w:r>
        <w:t xml:space="preserve">(sésame). À l’ouverture, seule son empreinte (SHA-256) part, et c’est tout ce que le serveur range ; aux étapes suivantes, le code lui-même se présente et le serveur le hache à chaque fois — un journal des corps de requête le capterait donc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w:t>
      </w:r>
      <w:r>
        <w:t xml:space="preserve"> </w:t>
      </w:r>
      <w:r>
        <w:t xml:space="preserve">suivi de 16 hexadécimaux) est ouvert. Si un litige est déjà ouvert pour ce compte, ou si l’ouverture y est gelée (§6.1), le demandeur reçoit le refus d’un nom inconnu, au même délai (</w:t>
      </w:r>
      <w:r>
        <w:rPr>
          <w:rStyle w:val="VerbatimChar"/>
        </w:rPr>
        <w:t xml:space="preserve">ouverture_refusee</w:t>
      </w:r>
      <w:r>
        <w:t xml:space="preserve">) : le numéro n’est</w:t>
      </w:r>
      <w:r>
        <w:t xml:space="preserve"> </w:t>
      </w:r>
      <w:r>
        <w:rPr>
          <w:b/>
          <w:bCs/>
        </w:rPr>
        <w:t xml:space="preserve">pas redivulgué</w:t>
      </w:r>
      <w:r>
        <w:t xml:space="preserve">, et rien n’apprend à un tiers qu’un dossier existe.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faits bruts</w:t>
      </w:r>
      <w:r>
        <w:t xml:space="preserve"> </w:t>
      </w:r>
      <w:r>
        <w:t xml:space="preserve">présenté à l’administrateur :</w:t>
      </w:r>
    </w:p>
    <w:p>
      <w:pPr>
        <w:pStyle w:val="Compact"/>
        <w:numPr>
          <w:ilvl w:val="1"/>
          <w:numId w:val="1007"/>
        </w:numPr>
      </w:pPr>
      <w:r>
        <w:rPr>
          <w:b/>
          <w:bCs/>
        </w:rPr>
        <w:t xml:space="preserve">Contexte</w:t>
      </w:r>
      <w:r>
        <w:t xml:space="preserve"> </w:t>
      </w:r>
      <w:r>
        <w:t xml:space="preserve">: ce que le serveur tient déjà — création du compte, dernière connexion, nombre de connexions, codes restants, refus récents, et ce que l’adaptateur du déploiement ajoute, que la bibliothèque n’interprète pas</w:t>
      </w:r>
    </w:p>
    <w:p>
      <w:pPr>
        <w:pStyle w:val="Compact"/>
        <w:numPr>
          <w:ilvl w:val="1"/>
          <w:numId w:val="1007"/>
        </w:numPr>
      </w:pPr>
      <w:r>
        <w:rPr>
          <w:b/>
          <w:bCs/>
        </w:rPr>
        <w:t xml:space="preserve">Déclaratif</w:t>
      </w:r>
      <w:r>
        <w:t xml:space="preserve"> </w:t>
      </w:r>
      <w:r>
        <w:t xml:space="preserve">: chaque réponse confrontée au réel, marquée</w:t>
      </w:r>
      <w:r>
        <w:t xml:space="preserve"> </w:t>
      </w:r>
      <w:r>
        <w:rPr>
          <w:rStyle w:val="VerbatimChar"/>
        </w:rPr>
        <w:t xml:space="preserve">concorde</w:t>
      </w:r>
      <w:r>
        <w:t xml:space="preserve">,</w:t>
      </w:r>
      <w:r>
        <w:t xml:space="preserve"> </w:t>
      </w:r>
      <w:r>
        <w:rPr>
          <w:rStyle w:val="VerbatimChar"/>
        </w:rPr>
        <w:t xml:space="preserve">diverge</w:t>
      </w:r>
      <w:r>
        <w:t xml:space="preserve"> </w:t>
      </w:r>
      <w:r>
        <w:t xml:space="preserve">ou</w:t>
      </w:r>
      <w:r>
        <w:t xml:space="preserve"> </w:t>
      </w:r>
      <w:r>
        <w:rPr>
          <w:rStyle w:val="VerbatimChar"/>
        </w:rPr>
        <w:t xml:space="preserve">indisponible</w:t>
      </w:r>
      <w:r>
        <w:t xml:space="preserve"> </w:t>
      </w:r>
      <w:r>
        <w:t xml:space="preserve">— ce dernier quand le serveur ne tient pas la donnée, ce qui n’est pas une divergence</w:t>
      </w:r>
    </w:p>
    <w:p>
      <w:pPr>
        <w:pStyle w:val="Compact"/>
        <w:numPr>
          <w:ilvl w:val="1"/>
          <w:numId w:val="1007"/>
        </w:numPr>
      </w:pPr>
      <w:r>
        <w:rPr>
          <w:b/>
          <w:bCs/>
        </w:rPr>
        <w:t xml:space="preserve">Avertissement</w:t>
      </w:r>
      <w:r>
        <w:t xml:space="preserve"> </w:t>
      </w:r>
      <w:r>
        <w:t xml:space="preserve">: il rappelle à l’arbitre que ces réponses sont devinables ; elles orientent la conversation, elles ne prouvent rien</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w:t>
      </w:r>
    </w:p>
    <w:p>
      <w:pPr>
        <w:pStyle w:val="Compact"/>
        <w:numPr>
          <w:ilvl w:val="0"/>
          <w:numId w:val="1006"/>
        </w:numPr>
      </w:pPr>
      <w:r>
        <w:rPr>
          <w:b/>
          <w:bCs/>
        </w:rPr>
        <w:t xml:space="preserve">Aucun score chiffré n’est calculé.</w:t>
      </w:r>
      <w:r>
        <w:t xml:space="preserve"> </w:t>
      </w:r>
      <w:r>
        <w:t xml:space="preserve">Ces faits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Ouverture freinée avant toute recherche du compte : 10 par adresse et 20 pour tout le service, par heure (valeurs par défaut). Pas de frein par compte, exprès : un tiers pourrait sinon fermer le niveau 3 au titulaire sans que rien n’apparaisse à l’arbitre. Le harcèlement d’un compte se voit autrement : la tentative concurrente se compte et se montre</w:t>
      </w:r>
    </w:p>
    <w:p>
      <w:pPr>
        <w:pStyle w:val="Compact"/>
        <w:numPr>
          <w:ilvl w:val="0"/>
          <w:numId w:val="1006"/>
        </w:numPr>
      </w:pPr>
      <w:r>
        <w:t xml:space="preserve">Le code de suivi se présente à chaque étape — dépôt des réponses, fil de discussion, état, reprise. Le dossier expire au bout de 24 h tant que personne n’a tranché. Un accord court 7 jours à partir de la décision ; passé ce délai, il tombe et l’arbitrage est à refaire. La reprise clôt le dossier et efface l’empreinte du code de suivi. Si le titulaire a perdu son code de suivi, un arbitre peut abandonner le dossier en cours : cela ne rend aucun accès, cela libère la place pour un dossier neuf</w:t>
      </w:r>
    </w:p>
    <w:bookmarkEnd w:id="33"/>
    <w:bookmarkStart w:id="34"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w:t>
      </w:r>
      <w:r>
        <w:t xml:space="preserve">: 10 hexadécimaux minuscules, 40 bits chacun).</w:t>
      </w:r>
      <w:r>
        <w:t xml:space="preserve"> </w:t>
      </w:r>
      <w:r>
        <w:t xml:space="preserve">- Stockage double, jamais en clair :</w:t>
      </w:r>
      <w:r>
        <w:t xml:space="preserve"> </w:t>
      </w:r>
      <w:r>
        <w:rPr>
          <w:rStyle w:val="VerbatimChar"/>
        </w:rPr>
        <w:t xml:space="preserve">code_lookup = HMAC-SHA256(clé = sel du déploiement, code)</w:t>
      </w:r>
      <w:r>
        <w:t xml:space="preserve"> </w:t>
      </w:r>
      <w:r>
        <w:t xml:space="preserve">(recherche sans identifiant)</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 Le sel du déploiement se garde comme un secret de service, hors racine web, et ne tourne pas sans réémettre toutes les feuilles : le changer rend introuvables tous les codes émis.</w:t>
      </w:r>
      <w:r>
        <w:t xml:space="preserve"> </w:t>
      </w:r>
      <w:r>
        <w:t xml:space="preserve">-</w:t>
      </w:r>
      <w:r>
        <w:t xml:space="preserve"> </w:t>
      </w:r>
      <w:r>
        <w:rPr>
          <w:b/>
          <w:bCs/>
        </w:rPr>
        <w:t xml:space="preserve">Usage unique</w:t>
      </w:r>
      <w:r>
        <w:t xml:space="preserve">, régénérables à la demande (le nouveau lot remplace l’ancien). Ils se gardent sur papier, rangés hors ligne.</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(t=3, m=64 Mio, p=1, sous un sel propre au blob), écrit dans la bibliothèque et confronté aux vecteurs de libsodium — aucun binaire embarqué. Le blob obtenu porte sa version et ses paramètres de dérivation ; un blob qui annonce des paramètres sous ce plancher est refusé.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Sur cette voie, le serveur ne vérifie pas le mot : il vérifie une signature. Le mot n’y est tenu que par le chiffrement du blob — un blob volé se travaille hors ligne, sans compteur d’essais, au seul coût d’Argon2id. En cas de succès, un mot de passe neuf est rendu ; la passphrase et les codes ne changent pas.</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w:t>
      </w:r>
      <w:r>
        <w:rPr>
          <w:rStyle w:val="VerbatimChar"/>
        </w:rPr>
        <w:t xml:space="preserve">Titulaire::AUTHENTIFIE</w:t>
      </w:r>
      <w:r>
        <w:t xml:space="preserve">), et freine ce chemin par compte et par adresse (5 et 12 échecs sur 15 minutes, valeurs par défaut)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r>
        <w:t xml:space="preserve"> </w:t>
      </w:r>
      <w:r>
        <w:t xml:space="preserve">- La reprise au niveau 3 retire tous les appareils enrôlés ; les niveaux 1 et 2 ne les retirent pas.</w:t>
      </w:r>
    </w:p>
    <w:bookmarkEnd w:id="34"/>
    <w:bookmarkStart w:id="35" w:name="la-passphrase-apportée-par-lutilisateur"/>
    <w:p>
      <w:pPr>
        <w:pStyle w:val="Heading3"/>
      </w:pPr>
      <w:r>
        <w:t xml:space="preserve">5.5 La passphrase apportée par l’utilisateur</w:t>
      </w:r>
    </w:p>
    <w:p>
      <w:pPr>
        <w:pStyle w:val="FirstParagraph"/>
      </w:pPr>
      <w:r>
        <w:t xml:space="preserve">Partout où une passphrase est émise — l’inscription, et les renouvellements des niveaux 1, 2 et 3 —,</w:t>
      </w:r>
      <w:r>
        <w:t xml:space="preserve"> </w:t>
      </w:r>
      <w:r>
        <w:t xml:space="preserve">l’utilisateur peut apporter la sienne, tirée aux dés, au lieu d’en recevoir une tirée par le serveur.</w:t>
      </w:r>
      <w:r>
        <w:t xml:space="preserve"> </w:t>
      </w:r>
      <w:r>
        <w:t xml:space="preserve">Rien d’apporté : le serveur tire, comme avant.</w:t>
      </w:r>
    </w:p>
    <w:p>
      <w:pPr>
        <w:pStyle w:val="Compact"/>
        <w:numPr>
          <w:ilvl w:val="0"/>
          <w:numId w:val="1008"/>
        </w:numPr>
      </w:pPr>
      <w:r>
        <w:rPr>
          <w:b/>
          <w:bCs/>
        </w:rPr>
        <w:t xml:space="preserve">Le contrôle</w:t>
      </w:r>
      <w:r>
        <w:t xml:space="preserve"> </w:t>
      </w:r>
      <w:r>
        <w:t xml:space="preserve">(</w:t>
      </w:r>
      <w:r>
        <w:rPr>
          <w:rStyle w:val="VerbatimChar"/>
        </w:rPr>
        <w:t xml:space="preserve">Recovery::validerPassphraseApportee()</w:t>
      </w:r>
      <w:r>
        <w:t xml:space="preserve">) : six mots au moins, chacun dans la liste</w:t>
      </w:r>
      <w:r>
        <w:t xml:space="preserve"> </w:t>
      </w:r>
      <w:r>
        <w:t xml:space="preserve">anglaise de l’EFF ou dans la liste française d’Arthur Pons, aucun répété, un plafond d’octets. La</w:t>
      </w:r>
      <w:r>
        <w:t xml:space="preserve"> </w:t>
      </w:r>
      <w:r>
        <w:t xml:space="preserve">passphrase est rangée sous une forme unique : minuscules, une espace entre les mots. C’est cette</w:t>
      </w:r>
      <w:r>
        <w:t xml:space="preserve"> </w:t>
      </w:r>
      <w:r>
        <w:t xml:space="preserve">forme qu’on hache, qu’on rend et qu’on fait noter, parce que la vérification ne convertit pas la saisie en minuscules.</w:t>
      </w:r>
    </w:p>
    <w:p>
      <w:pPr>
        <w:pStyle w:val="Compact"/>
        <w:numPr>
          <w:ilvl w:val="0"/>
          <w:numId w:val="1008"/>
        </w:numPr>
      </w:pPr>
      <w:r>
        <w:rPr>
          <w:b/>
          <w:bCs/>
        </w:rPr>
        <w:t xml:space="preserve">Le refus de forme</w:t>
      </w:r>
      <w:r>
        <w:t xml:space="preserve"> </w:t>
      </w:r>
      <w:r>
        <w:t xml:space="preserve">dit la position d’un mot, jamais le mot. Il est jugé avant tout frein, sans</w:t>
      </w:r>
      <w:r>
        <w:t xml:space="preserve"> </w:t>
      </w:r>
      <w:r>
        <w:t xml:space="preserve">trace ni délai : il ne dépend que de la saisie, pas du compte, et le tracer laisserait n’importe qui</w:t>
      </w:r>
      <w:r>
        <w:t xml:space="preserve"> </w:t>
      </w:r>
      <w:r>
        <w:t xml:space="preserve">charger le frein d’un autre. Aucun refus de passphrase ne consomme le code du niveau 2 ni le dossier</w:t>
      </w:r>
      <w:r>
        <w:t xml:space="preserve"> </w:t>
      </w:r>
      <w:r>
        <w:t xml:space="preserve">du niveau 3.</w:t>
      </w:r>
    </w:p>
    <w:p>
      <w:pPr>
        <w:pStyle w:val="Compact"/>
        <w:numPr>
          <w:ilvl w:val="0"/>
          <w:numId w:val="1008"/>
        </w:numPr>
      </w:pPr>
      <w:r>
        <w:rPr>
          <w:b/>
          <w:bCs/>
        </w:rPr>
        <w:t xml:space="preserve">L’ancienne passphrase ne revient pas</w:t>
      </w:r>
      <w:r>
        <w:t xml:space="preserve">, jugé une fois les facteurs vérifiés : au niveau 1, ni</w:t>
      </w:r>
      <w:r>
        <w:t xml:space="preserve"> </w:t>
      </w:r>
      <w:r>
        <w:t xml:space="preserve">telle quelle ni ses mots dans un autre ordre ; aux niveaux 2 et 3, telle quelle. Au niveau 3, elle ne peut</w:t>
      </w:r>
      <w:r>
        <w:t xml:space="preserve"> </w:t>
      </w:r>
      <w:r>
        <w:t xml:space="preserve">pas non plus égaler le mot de passe choisi. La bibliothèque ne garde pas d’historique : une</w:t>
      </w:r>
      <w:r>
        <w:t xml:space="preserve"> </w:t>
      </w:r>
      <w:r>
        <w:t xml:space="preserve">passphrase plus ancienne que la dernière n’est pas reconnue.</w:t>
      </w:r>
    </w:p>
    <w:p>
      <w:pPr>
        <w:pStyle w:val="Compact"/>
        <w:numPr>
          <w:ilvl w:val="0"/>
          <w:numId w:val="1008"/>
        </w:numPr>
      </w:pPr>
      <w:r>
        <w:rPr>
          <w:b/>
          <w:bCs/>
        </w:rPr>
        <w:t xml:space="preserve">Ce que le contrôle ne mesure pas : le hasard.</w:t>
      </w:r>
      <w:r>
        <w:t xml:space="preserve"> </w:t>
      </w:r>
      <w:r>
        <w:t xml:space="preserve">Six mots choisis de tête passent, et ne valent pas</w:t>
      </w:r>
      <w:r>
        <w:t xml:space="preserve"> </w:t>
      </w:r>
      <w:r>
        <w:t xml:space="preserve">six mots tirés. La même passphrase scelle la serrure « passphrase » du coffre SelfDataGuard, qu’on</w:t>
      </w:r>
      <w:r>
        <w:t xml:space="preserve"> </w:t>
      </w:r>
      <w:r>
        <w:t xml:space="preserve">attaque hors ligne : une passphrase devinable y devient la porte la moins chère.</w:t>
      </w:r>
    </w:p>
    <w:p>
      <w:pPr>
        <w:pStyle w:val="FirstParagraph"/>
      </w:pPr>
      <w:r>
        <w:t xml:space="preserve">À l’inscription, qui appartient à l’application, celle-ci passe la saisie au contrôle et hache la</w:t>
      </w:r>
      <w:r>
        <w:t xml:space="preserve"> </w:t>
      </w:r>
      <w:r>
        <w:t xml:space="preserve">forme rendue. Aux renouvellements, elle la passe en</w:t>
      </w:r>
      <w:r>
        <w:t xml:space="preserve"> </w:t>
      </w:r>
      <w:r>
        <w:rPr>
          <w:rStyle w:val="VerbatimChar"/>
        </w:rPr>
        <w:t xml:space="preserve">nouvellePassphrase</w:t>
      </w:r>
      <w:r>
        <w:t xml:space="preserve"> </w:t>
      </w:r>
      <w:r>
        <w:t xml:space="preserve">à</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ou</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w:t>
      </w:r>
      <w:r>
        <w:t xml:space="preserve"> </w:t>
      </w:r>
      <w:r>
        <w:t xml:space="preserve">suivi de 16 hexadécimaux) s’ouvre quand la personne le demande, jamais automatiquement. Avec l’adaptateur fourni, il apparaît dans la console d’arbitrage dès son ouverture ; son faisceau, dès le dépôt des réponses (</w:t>
      </w:r>
      <w:r>
        <w:rPr>
          <w:rStyle w:val="VerbatimChar"/>
        </w:rPr>
        <w:t xml:space="preserve">awaiting_admin</w:t>
      </w:r>
      <w:r>
        <w:t xml:space="preserve">).</w:t>
      </w:r>
    </w:p>
    <w:p>
      <w:pPr>
        <w:pStyle w:val="Compact"/>
        <w:numPr>
          <w:ilvl w:val="0"/>
          <w:numId w:val="1009"/>
        </w:numPr>
      </w:pPr>
      <w:r>
        <w:t xml:space="preserve">Chaque litige a un numéro</w:t>
      </w:r>
      <w:r>
        <w:t xml:space="preserve"> </w:t>
      </w:r>
      <w:r>
        <w:rPr>
          <w:b/>
          <w:bCs/>
        </w:rPr>
        <w:t xml:space="preserve">non devinable</w:t>
      </w:r>
      <w:r>
        <w:t xml:space="preserve">, le faisceau de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L’admin retrouve les litiges ouverts dans son tableau de bord</w:t>
      </w:r>
    </w:p>
    <w:p>
      <w:pPr>
        <w:pStyle w:val="Compact"/>
        <w:numPr>
          <w:ilvl w:val="0"/>
          <w:numId w:val="1009"/>
        </w:numPr>
      </w:pPr>
      <w:r>
        <w:t xml:space="preserve">Un chat bidirectionnel est disponible entre l’admin et l’utilisateur, dont l’accès est conditionné par le code de suivi (polling, pas de WebSocket temps réel pour rester simple)</w:t>
      </w:r>
    </w:p>
    <w:p>
      <w:pPr>
        <w:pStyle w:val="Compact"/>
        <w:numPr>
          <w:ilvl w:val="0"/>
          <w:numId w:val="1009"/>
        </w:numPr>
      </w:pPr>
      <w:r>
        <w:rPr>
          <w:rStyle w:val="VerbatimChar"/>
        </w:rPr>
        <w:t xml:space="preserve">purger()</w:t>
      </w:r>
      <w:r>
        <w:t xml:space="preserve"> </w:t>
      </w:r>
      <w:r>
        <w:t xml:space="preserve">efface les dossiers périmés — ni les refusés, sur lesquels se compte le gel, ni les acceptés, qu’un titulaire peut encore venir consommer. ⚠️ La bibliothèque expose la méthode ;</w:t>
      </w:r>
      <w:r>
        <w:t xml:space="preserve"> </w:t>
      </w:r>
      <w:r>
        <w:rPr>
          <w:b/>
          <w:bCs/>
        </w:rPr>
        <w:t xml:space="preserve">elle n’a pas d’horloge</w:t>
      </w:r>
      <w:r>
        <w:t xml:space="preserve">. C’est au déploiement de l’appeler, par une tâche planifiée.</w:t>
      </w:r>
    </w:p>
    <w:bookmarkStart w:id="37"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10"/>
        </w:numPr>
      </w:pPr>
      <w:r>
        <w:t xml:space="preserve">L’admin vérifie l’identité via l’échange chat</w:t>
      </w:r>
    </w:p>
    <w:p>
      <w:pPr>
        <w:pStyle w:val="Compact"/>
        <w:numPr>
          <w:ilvl w:val="0"/>
          <w:numId w:val="1010"/>
        </w:numPr>
      </w:pPr>
      <w:r>
        <w:t xml:space="preserve">Le litige passe en</w:t>
      </w:r>
      <w:r>
        <w:t xml:space="preserve"> </w:t>
      </w:r>
      <w:r>
        <w:rPr>
          <w:rStyle w:val="VerbatimChar"/>
        </w:rPr>
        <w:t xml:space="preserve">accepted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10"/>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Le mot de passe fait entre 12 et 4 096 caractères ; il est soumis en clair, et le serveur le range sans l’émettre. Le navigateur engendre un nouveau sel et dérive le mot mémorisé, qui n’arrive jamais en clair. Le serveur engendre 10 codes neufs, et une passphrase si le titulaire n’apporte pas la sienne (§5.5), affichés une fois, coupe les sessions et retire tous les appareils enrôlés — le titulaire réenrôle celui qu’il utilise. Le dossier passe en</w:t>
      </w:r>
      <w:r>
        <w:t xml:space="preserve"> </w:t>
      </w:r>
      <w:r>
        <w:rPr>
          <w:rStyle w:val="VerbatimChar"/>
        </w:rPr>
        <w:t xml:space="preserve">closed</w:t>
      </w:r>
      <w:r>
        <w:t xml:space="preserve"> </w:t>
      </w:r>
      <w:r>
        <w:t xml:space="preserve">et l’empreinte du code de suivi est effacée</w:t>
      </w:r>
    </w:p>
    <w:p>
      <w:pPr>
        <w:pStyle w:val="FirstParagraph"/>
      </w:pPr>
      <w:r>
        <w:rPr>
          <w:b/>
          <w:bCs/>
        </w:rPr>
        <w:t xml:space="preserve">Option 2 — Refuser la récupération :</w:t>
      </w:r>
    </w:p>
    <w:p>
      <w:pPr>
        <w:pStyle w:val="Compact"/>
        <w:numPr>
          <w:ilvl w:val="0"/>
          <w:numId w:val="1011"/>
        </w:numPr>
      </w:pPr>
      <w:r>
        <w:t xml:space="preserve">L’admin ne considère pas la preuve d’identité suffisante</w:t>
      </w:r>
    </w:p>
    <w:p>
      <w:pPr>
        <w:pStyle w:val="Compact"/>
        <w:numPr>
          <w:ilvl w:val="0"/>
          <w:numId w:val="1011"/>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1"/>
        </w:numPr>
      </w:pPr>
      <w:r>
        <w:rPr>
          <w:b/>
          <w:bCs/>
        </w:rPr>
        <w:t xml:space="preserve">Le compte n’est pas touché</w:t>
      </w:r>
      <w:r>
        <w:t xml:space="preserve"> </w:t>
      </w:r>
      <w:r>
        <w:t xml:space="preserve">: ni supprimé, ni banni, ni vidé de ses codes. Il reste connectable</w:t>
      </w:r>
    </w:p>
    <w:p>
      <w:pPr>
        <w:pStyle w:val="Compact"/>
        <w:numPr>
          <w:ilvl w:val="0"/>
          <w:numId w:val="1011"/>
        </w:numPr>
      </w:pPr>
      <w:r>
        <w:t xml:space="preserve">Au</w:t>
      </w:r>
      <w:r>
        <w:t xml:space="preserve"> </w:t>
      </w:r>
      <w:r>
        <w:rPr>
          <w:b/>
          <w:bCs/>
        </w:rPr>
        <w:t xml:space="preserve">3ᵉ refus dans une fenêtre glissante de 30 jours</w:t>
      </w:r>
      <w:r>
        <w:t xml:space="preserve">, l’</w:t>
      </w:r>
      <w:r>
        <w:rPr>
          <w:b/>
          <w:bCs/>
        </w:rPr>
        <w:t xml:space="preserve">ouverture</w:t>
      </w:r>
      <w:r>
        <w:t xml:space="preserve"> </w:t>
      </w:r>
      <w:r>
        <w:t xml:space="preserve">de nouveaux dossiers gèle 7 jours sur ce compte. Un administrateur peut lever le gel, et la trace du dégel est conservée. Pendant le gel, une demande d’ouverture reçoit le refus d’un nom inconnu (§5.3) : le gel ne se lit pas du dehors</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w:t>
      </w:r>
      <w:r>
        <w:t xml:space="preserve"> </w:t>
      </w:r>
      <w:r>
        <w:t xml:space="preserve">le gel coûte à qui insiste sans convaincre, sans rien coûter au titulaire, qui continue de se connecter normalement pendant ce temps. Le comptage porte sur les</w:t>
      </w:r>
      <w:r>
        <w:t xml:space="preserve"> </w:t>
      </w:r>
      <w:r>
        <w:rPr>
          <w:b/>
          <w:bCs/>
        </w:rPr>
        <w:t xml:space="preserve">dossiers refusés</w:t>
      </w:r>
      <w:r>
        <w:t xml:space="preserve">, pas sur les dépôts : trois soumissions dans un même dossier restent un seul refus, sinon l’insistance d’un titulaire honnête déclencherait le gel aussi vite qu’une campagne hostile.</w:t>
      </w:r>
    </w:p>
    <w:bookmarkEnd w:id="37"/>
    <w:bookmarkStart w:id="38" w:name="Xf980310a96f132d7f3040d3713e500a45d1d461"/>
    <w:p>
      <w:pPr>
        <w:pStyle w:val="Heading3"/>
      </w:pPr>
      <w:r>
        <w:t xml:space="preserve">6.2 Super-utilisateur (SU) — gouvernance des administrateurs</w:t>
      </w:r>
    </w:p>
    <w:p>
      <w:pPr>
        <w:pStyle w:val="FirstParagraph"/>
      </w:pPr>
      <w:r>
        <w:t xml:space="preserve">Le super-utilisateur n’est pas dans la bibliothèque : le laboratoire l’implémente (</w:t>
      </w:r>
      <w:r>
        <w:rPr>
          <w:rStyle w:val="VerbatimChar"/>
        </w:rPr>
        <w:t xml:space="preserve">demo/lab/selfrecover-su</w:t>
      </w:r>
      <w:r>
        <w:t xml:space="preserve">, console en ligne de commande). Ce qui suit décrit ce modèle de référence.</w:t>
      </w:r>
    </w:p>
    <w:p>
      <w:pPr>
        <w:pStyle w:val="BodyText"/>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8"/>
    <w:bookmarkEnd w:id="39"/>
    <w:bookmarkStart w:id="40"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2"/>
        </w:numPr>
      </w:pPr>
      <w:r>
        <w:rPr>
          <w:b/>
          <w:bCs/>
        </w:rPr>
        <w:t xml:space="preserve">Compteurs</w:t>
      </w:r>
      <w:r>
        <w:t xml:space="preserve"> </w:t>
      </w:r>
      <w:r>
        <w:t xml:space="preserve">: par adresse au niveau 1, par compte et par adresse au niveau 2 et à l’enrôlement d’un appareil, avec la suspension du niveau 2 après 20 échecs ; par adresse et pour tout le service à l’ouverture d’un dossier de niveau 3. Le frein par adresse n’existe que sous le profil</w:t>
      </w:r>
      <w:r>
        <w:t xml:space="preserve"> </w:t>
      </w:r>
      <w:r>
        <w:rPr>
          <w:rStyle w:val="VerbatimChar"/>
        </w:rPr>
        <w:t xml:space="preserve">clearweb</w:t>
      </w:r>
      <w:r>
        <w:t xml:space="preserve">. Au niveau 1, le compteur par compte ne ferme plus de porte : il classe</w:t>
      </w:r>
    </w:p>
    <w:p>
      <w:pPr>
        <w:pStyle w:val="Compact"/>
        <w:numPr>
          <w:ilvl w:val="0"/>
          <w:numId w:val="1012"/>
        </w:numPr>
      </w:pPr>
      <w:r>
        <w:rPr>
          <w:b/>
          <w:bCs/>
        </w:rPr>
        <w:t xml:space="preserve">Délai forcé</w:t>
      </w:r>
      <w:r>
        <w:t xml:space="preserve"> </w:t>
      </w:r>
      <w:r>
        <w:t xml:space="preserve">sur chaque refus qui tait un état</w:t>
      </w:r>
    </w:p>
    <w:p>
      <w:pPr>
        <w:pStyle w:val="Compact"/>
        <w:numPr>
          <w:ilvl w:val="0"/>
          <w:numId w:val="1012"/>
        </w:numPr>
      </w:pPr>
      <w:r>
        <w:rPr>
          <w:b/>
          <w:bCs/>
        </w:rPr>
        <w:t xml:space="preserve">Message de refus unique</w:t>
      </w:r>
      <w:r>
        <w:t xml:space="preserve">, pour que rien ne trie les comptes qui existent — sauf deux exceptions assumées : la suspension du niveau 2, qui doit se dire, et l’ouverture d’un dossier de niveau 3 (§10.1)</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40"/>
    <w:bookmarkStart w:id="41" w:name="ce-que-rend-la-bibliothèque"/>
    <w:p>
      <w:pPr>
        <w:pStyle w:val="Heading2"/>
      </w:pPr>
      <w:r>
        <w:t xml:space="preserve">8. Ce que rend la bibliothèque</w:t>
      </w:r>
    </w:p>
    <w:p>
      <w:pPr>
        <w:pStyle w:val="FirstParagraph"/>
      </w:pPr>
      <w:r>
        <w:t xml:space="preserve">Chaque méthode rend</w:t>
      </w:r>
      <w:r>
        <w:t xml:space="preserve"> </w:t>
      </w:r>
      <w:r>
        <w:rPr>
          <w:rStyle w:val="VerbatimChar"/>
        </w:rPr>
        <w:t xml:space="preserve">ok</w:t>
      </w:r>
      <w:r>
        <w:t xml:space="preserve">. Tout refus porte un</w:t>
      </w:r>
      <w:r>
        <w:t xml:space="preserve"> </w:t>
      </w:r>
      <w:r>
        <w:rPr>
          <w:rStyle w:val="VerbatimChar"/>
        </w:rPr>
        <w:t xml:space="preserve">message</w:t>
      </w:r>
      <w:r>
        <w:t xml:space="preserve"> </w:t>
      </w:r>
      <w:r>
        <w:t xml:space="preserve">destiné à la personne, la plupart des succès aussi (pas</w:t>
      </w:r>
      <w:r>
        <w:t xml:space="preserve"> </w:t>
      </w:r>
      <w:r>
        <w:rPr>
          <w:rStyle w:val="VerbatimChar"/>
        </w:rPr>
        <w:t xml:space="preserve">etat()</w:t>
      </w:r>
      <w:r>
        <w:t xml:space="preserve">,</w:t>
      </w:r>
      <w:r>
        <w:t xml:space="preserve"> </w:t>
      </w:r>
      <w:r>
        <w:rPr>
          <w:rStyle w:val="VerbatimChar"/>
        </w:rPr>
        <w:t xml:space="preserve">fil()</w:t>
      </w:r>
      <w:r>
        <w:t xml:space="preserve"> </w:t>
      </w:r>
      <w:r>
        <w:t xml:space="preserve">ni</w:t>
      </w:r>
      <w:r>
        <w:t xml:space="preserve"> </w:t>
      </w:r>
      <w:r>
        <w:rPr>
          <w:rStyle w:val="VerbatimChar"/>
        </w:rPr>
        <w:t xml:space="preserve">ouvrirDefi()</w:t>
      </w:r>
      <w:r>
        <w:t xml:space="preserve">), et certains refus un</w:t>
      </w:r>
      <w:r>
        <w:t xml:space="preserve"> </w:t>
      </w:r>
      <w:r>
        <w:rPr>
          <w:rStyle w:val="VerbatimChar"/>
        </w:rPr>
        <w:t xml:space="preserve">error</w:t>
      </w:r>
      <w:r>
        <w:t xml:space="preserve"> </w:t>
      </w:r>
      <w:r>
        <w:t xml:space="preserve">stable que l’application peut journaliser ou traduire :</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(hors ouverture),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entre autres.</w:t>
      </w:r>
    </w:p>
    <w:p>
      <w:pPr>
        <w:pStyle w:val="BodyText"/>
      </w:pPr>
      <w:r>
        <w:t xml:space="preserve">La bibliothèque ne remonte rien elle-même ; elle enregistre seulement les tentatives dont ses freins ont besoin. Ce qu’un rapport de diagnostic contient relève de l’application ; elle ne doit y mettre ni le mot de récupération (brut ou dérivé), ni la passphrase, ni le mot de passe, ni les codes.</w:t>
      </w:r>
    </w:p>
    <w:p>
      <w:r>
        <w:pict>
          <v:rect style="width:0;height:1.5pt" o:hralign="center" o:hrstd="t" o:hr="t"/>
        </w:pict>
      </w:r>
    </w:p>
    <w:bookmarkEnd w:id="41"/>
    <w:bookmarkStart w:id="42" w:name="protection-contre-les-attaques-actives"/>
    <w:p>
      <w:pPr>
        <w:pStyle w:val="Heading2"/>
      </w:pPr>
      <w:r>
        <w:t xml:space="preserve">9. Protection contre les attaques actives</w:t>
      </w:r>
    </w:p>
    <w:p>
      <w:pPr>
        <w:pStyle w:val="FirstParagraph"/>
      </w:pPr>
      <w:r>
        <w:t xml:space="preserve">Ce qui suit est un motif d’intégration, que ni la bibliothèque ni les démos ne fournissent : il faut des sessions, des rôles et un canal de notification que la bibliothèque n’a pas.</w:t>
      </w:r>
    </w:p>
    <w:p>
      <w:pPr>
        <w:pStyle w:val="BodyText"/>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3"/>
        </w:numPr>
      </w:pPr>
      <w:r>
        <w:rPr>
          <w:b/>
          <w:bCs/>
        </w:rPr>
        <w:t xml:space="preserve">Oui</w:t>
      </w:r>
      <w:r>
        <w:t xml:space="preserve"> </w:t>
      </w:r>
      <w:r>
        <w:t xml:space="preserve">→ les tentatives échouées sont effacées, l’utilisateur continue normalement ; les dossiers refusés restent comptés pour le gel (§6.1)</w:t>
      </w:r>
    </w:p>
    <w:p>
      <w:pPr>
        <w:pStyle w:val="Compact"/>
        <w:numPr>
          <w:ilvl w:val="0"/>
          <w:numId w:val="1013"/>
        </w:numPr>
      </w:pPr>
      <w:r>
        <w:rPr>
          <w:b/>
          <w:bCs/>
        </w:rPr>
        <w:t xml:space="preserve">Non</w:t>
      </w:r>
      <w:r>
        <w:t xml:space="preserve"> </w:t>
      </w:r>
      <w:r>
        <w:t xml:space="preserve">→ protection renforcée activée en arrière-plan :</w:t>
      </w:r>
    </w:p>
    <w:p>
      <w:pPr>
        <w:pStyle w:val="Compact"/>
        <w:numPr>
          <w:ilvl w:val="1"/>
          <w:numId w:val="1014"/>
        </w:numPr>
      </w:pPr>
      <w:r>
        <w:t xml:space="preserve">Nouveau mot de passe généré et affiché à l’utilisateur</w:t>
      </w:r>
    </w:p>
    <w:p>
      <w:pPr>
        <w:pStyle w:val="Compact"/>
        <w:numPr>
          <w:ilvl w:val="1"/>
          <w:numId w:val="1014"/>
        </w:numPr>
      </w:pPr>
      <w:r>
        <w:t xml:space="preserve">Sessions révoquées : qui tenait le compte est éjecté</w:t>
      </w:r>
    </w:p>
    <w:p>
      <w:pPr>
        <w:pStyle w:val="Compact"/>
        <w:numPr>
          <w:ilvl w:val="1"/>
          <w:numId w:val="1014"/>
        </w:numPr>
      </w:pPr>
      <w:r>
        <w:t xml:space="preserve">Admin notifié</w:t>
      </w:r>
    </w:p>
    <w:p>
      <w:pPr>
        <w:pStyle w:val="FirstParagraph"/>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2"/>
    <w:bookmarkStart w:id="47" w:name="modèle-de-menaces-et-limites"/>
    <w:p>
      <w:pPr>
        <w:pStyle w:val="Heading2"/>
      </w:pPr>
      <w:r>
        <w:t xml:space="preserve">10. Modèle de menaces et limites</w:t>
      </w:r>
    </w:p>
    <w:bookmarkStart w:id="43" w:name="menaces-traitées"/>
    <w:p>
      <w:pPr>
        <w:pStyle w:val="Heading3"/>
      </w:pPr>
      <w:r>
        <w:t xml:space="preserve">10.1 Menaces traitées</w:t>
      </w:r>
    </w:p>
    <w:p>
      <w:pPr>
        <w:pStyle w:val="Compact"/>
        <w:numPr>
          <w:ilvl w:val="0"/>
          <w:numId w:val="1015"/>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5"/>
        </w:numPr>
      </w:pPr>
      <w:r>
        <w:rPr>
          <w:b/>
          <w:bCs/>
        </w:rPr>
        <w:t xml:space="preserve">Piratage de l’email</w:t>
      </w:r>
      <w:r>
        <w:t xml:space="preserve"> </w:t>
      </w:r>
      <w:r>
        <w:t xml:space="preserve">— il n’y a aucun email dans le protocole</w:t>
      </w:r>
    </w:p>
    <w:p>
      <w:pPr>
        <w:pStyle w:val="Compact"/>
        <w:numPr>
          <w:ilvl w:val="0"/>
          <w:numId w:val="1015"/>
        </w:numPr>
      </w:pPr>
      <w:r>
        <w:rPr>
          <w:b/>
          <w:bCs/>
        </w:rPr>
        <w:t xml:space="preserve">Panne du fournisseur SMTP</w:t>
      </w:r>
      <w:r>
        <w:t xml:space="preserve"> </w:t>
      </w:r>
      <w:r>
        <w:t xml:space="preserve">— pas de dépendance SMTP</w:t>
      </w:r>
    </w:p>
    <w:p>
      <w:pPr>
        <w:pStyle w:val="Compact"/>
        <w:numPr>
          <w:ilvl w:val="0"/>
          <w:numId w:val="1015"/>
        </w:numPr>
      </w:pPr>
      <w:r>
        <w:rPr>
          <w:b/>
          <w:bCs/>
        </w:rPr>
        <w:t xml:space="preserve">Confiance tiers</w:t>
      </w:r>
      <w:r>
        <w:t xml:space="preserve"> </w:t>
      </w:r>
      <w:r>
        <w:t xml:space="preserve">— seuls le site et l’utilisateur sont impliqués</w:t>
      </w:r>
    </w:p>
    <w:p>
      <w:pPr>
        <w:pStyle w:val="Compact"/>
        <w:numPr>
          <w:ilvl w:val="0"/>
          <w:numId w:val="1015"/>
        </w:numPr>
      </w:pPr>
      <w:r>
        <w:rPr>
          <w:b/>
          <w:bCs/>
        </w:rPr>
        <w:t xml:space="preserve">Force brute freinée</w:t>
      </w:r>
      <w:r>
        <w:t xml:space="preserve"> </w:t>
      </w:r>
      <w:r>
        <w:t xml:space="preserve">— par adresse au niveau 1, par compte et par adresse au niveau 2 et à l’enrôlement, suspension du niveau 2 après 20 échecs, coût Argon2id par essai côté serveur. ⚠️ Au niveau 1 derrière un service caché, aucun frein de la bibliothèque ne s’applique : seuls le coût par essai et l’entropie de la passphrase s’y opposent</w:t>
      </w:r>
    </w:p>
    <w:p>
      <w:pPr>
        <w:pStyle w:val="Compact"/>
        <w:numPr>
          <w:ilvl w:val="0"/>
          <w:numId w:val="1015"/>
        </w:numPr>
      </w:pPr>
      <w:r>
        <w:rPr>
          <w:b/>
          <w:bCs/>
        </w:rPr>
        <w:t xml:space="preserve">Énumération par bot</w:t>
      </w:r>
      <w:r>
        <w:t xml:space="preserve"> </w:t>
      </w:r>
      <w:r>
        <w:t xml:space="preserve">—</w:t>
      </w:r>
      <w:r>
        <w:t xml:space="preserve"> </w:t>
      </w:r>
      <w:r>
        <w:rPr>
          <w:i/>
          <w:iCs/>
        </w:rPr>
        <w:t xml:space="preserve">partiellement</w:t>
      </w:r>
      <w:r>
        <w:t xml:space="preserve">. Fermée aux niveaux 1 et 2 et à l’enrôlement : refus unique au premier, aucun identifiant demandé au second, compteur tiré du nom soumis au troisième. La route du sel répond toujours un sel, vrai ou faux (§4.2). Un refus du niveau 2 nomme pourtant un état : la suspension, qui apprend à qui détient déjà un code que ce code vise un compte réel. Ouverte au niveau 3, où la réponse utile EST la distinction — un succès rend un numéro de dossier, un nom inconnu ne peut pas en rendre. Les refus, eux, ne se distinguent pas : nom inconnu, dossier déjà ouvert et procédure gelée rendent le même</w:t>
      </w:r>
      <w:r>
        <w:t xml:space="preserve"> </w:t>
      </w:r>
      <w:r>
        <w:rPr>
          <w:rStyle w:val="VerbatimChar"/>
        </w:rPr>
        <w:t xml:space="preserve">ouverture_refusee</w:t>
      </w:r>
      <w:r>
        <w:t xml:space="preserve">, au même délai. Ce qui s’y oppose est le coût : deux freins avant la recherche du compte (par adresse, par service), ce délai sur chaque refus, et une preuve de travail devant la route — que la bibliothèque ne peut pas imposer puisqu’elle n’a pas de route</w:t>
      </w:r>
    </w:p>
    <w:p>
      <w:pPr>
        <w:pStyle w:val="Compact"/>
        <w:numPr>
          <w:ilvl w:val="0"/>
          <w:numId w:val="1015"/>
        </w:numPr>
      </w:pPr>
      <w:r>
        <w:rPr>
          <w:b/>
          <w:bCs/>
        </w:rPr>
        <w:t xml:space="preserve">Blanchiment de réputation sociale</w:t>
      </w:r>
      <w:r>
        <w:t xml:space="preserve"> </w:t>
      </w:r>
      <w:r>
        <w:t xml:space="preserve">— la bibliothèque n’offre aucun renommage de compte ; verrouiller le nom après l’inscription revient à l’application</w:t>
      </w:r>
    </w:p>
    <w:bookmarkEnd w:id="43"/>
    <w:bookmarkStart w:id="44"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6"/>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w:t>
      </w:r>
      <w:r>
        <w:t xml:space="preserve"> </w:t>
      </w:r>
      <w:r>
        <w:rPr>
          <w:rStyle w:val="VerbatimChar"/>
        </w:rPr>
        <w:t xml:space="preserve">/etc/sudoers.d/</w:t>
      </w:r>
      <w:r>
        <w:t xml:space="preserve"> </w:t>
      </w:r>
      <w:r>
        <w:t xml:space="preserve">se vérifie toujours à l’installation.</w:t>
      </w:r>
    </w:p>
    <w:p>
      <w:pPr>
        <w:pStyle w:val="Compact"/>
        <w:numPr>
          <w:ilvl w:val="0"/>
          <w:numId w:val="1016"/>
        </w:numPr>
      </w:pPr>
      <w:r>
        <w:t xml:space="preserve">Si un attaquant compromet le compte utilisateur (fuite de clé SSH, vulnérabilité web, etc.), il passe root sans aucune friction</w:t>
      </w:r>
    </w:p>
    <w:p>
      <w:pPr>
        <w:pStyle w:val="Compact"/>
        <w:numPr>
          <w:ilvl w:val="0"/>
          <w:numId w:val="1016"/>
        </w:numPr>
      </w:pPr>
      <w:r>
        <w:t xml:space="preserve">Avec root : accès direct à la base de données, remplacement des hash de mot de passe, modification du code — y compris du dériveur servi au navigateur, qui pourrait alors capter le mot mémorisé —,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7"/>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7"/>
        </w:numPr>
      </w:pPr>
      <w:r>
        <w:t xml:space="preserve">Définir une passphrase diceware forte (minimum 6 mots, 8 recommandés) comme mot de passe de l’utilisateur sudo</w:t>
      </w:r>
    </w:p>
    <w:p>
      <w:pPr>
        <w:pStyle w:val="Compact"/>
        <w:numPr>
          <w:ilvl w:val="0"/>
          <w:numId w:val="1017"/>
        </w:numPr>
      </w:pPr>
      <w:r>
        <w:rPr>
          <w:rStyle w:val="VerbatimChar"/>
        </w:rPr>
        <w:t xml:space="preserve">sudo</w:t>
      </w:r>
      <w:r>
        <w:t xml:space="preserve"> </w:t>
      </w:r>
      <w:r>
        <w:t xml:space="preserve">doit exiger cette passphrase pour chaque escalade de privilèges</w:t>
      </w:r>
    </w:p>
    <w:p>
      <w:pPr>
        <w:pStyle w:val="Compact"/>
        <w:numPr>
          <w:ilvl w:val="0"/>
          <w:numId w:val="1017"/>
        </w:numPr>
      </w:pPr>
      <w:r>
        <w:t xml:space="preserve">La passphrase doit être conservée hors ligne uniquement (papier, pas numérique)</w:t>
      </w:r>
    </w:p>
    <w:p>
      <w:pPr>
        <w:pStyle w:val="Compact"/>
        <w:numPr>
          <w:ilvl w:val="0"/>
          <w:numId w:val="1017"/>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"user:&lt;passphrase-diceware&gt;"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4"/>
    <w:bookmarkStart w:id="45"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Sur la voie de l’appareil, le serveur ne vérifie pas le mot : un blob volé se travaille hors ligne, sans compteur, au seul coût d’Argon2id. Cette voie demande un mot robuste.</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8"/>
        </w:numPr>
      </w:pPr>
      <w:r>
        <w:t xml:space="preserve">L’utilisateur traite son mot de récupération comme une clé de maison — pas sur un post-it, pas partagée dans un chat</w:t>
      </w:r>
    </w:p>
    <w:p>
      <w:pPr>
        <w:pStyle w:val="Compact"/>
        <w:numPr>
          <w:ilvl w:val="0"/>
          <w:numId w:val="1018"/>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8"/>
        </w:numPr>
      </w:pPr>
      <w:r>
        <w:t xml:space="preserve">Les freins par compte et par adresse, et la suspension du niveau 2, ralentissent la force brute en ligne ; hors ligne, seul le coût d’Argon2id la freine</w:t>
      </w:r>
    </w:p>
    <w:p>
      <w:pPr>
        <w:pStyle w:val="Compact"/>
        <w:numPr>
          <w:ilvl w:val="0"/>
          <w:numId w:val="1018"/>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5"/>
    <w:bookmarkStart w:id="46" w:name="autres-limites-par-conception"/>
    <w:p>
      <w:pPr>
        <w:pStyle w:val="Heading3"/>
      </w:pPr>
      <w:r>
        <w:t xml:space="preserve">10.4 Autres limites (par conception)</w:t>
      </w:r>
    </w:p>
    <w:p>
      <w:pPr>
        <w:pStyle w:val="Compact"/>
        <w:numPr>
          <w:ilvl w:val="0"/>
          <w:numId w:val="1019"/>
        </w:numPr>
      </w:pPr>
      <w:r>
        <w:t xml:space="preserve">Si l’utilisateur a oublié son mot mémorisé et perdu sa passphrase, il ne reste que le niveau 3 : un arbitre humain. S’il refuse, il n’y a pas d’autre recours ; un nouveau dossier reste possible jusqu’au gel de 7 jours, au 3ᵉ refus en 30 jours</w:t>
      </w:r>
    </w:p>
    <w:p>
      <w:pPr>
        <w:pStyle w:val="Compact"/>
        <w:numPr>
          <w:ilvl w:val="0"/>
          <w:numId w:val="1019"/>
        </w:numPr>
      </w:pPr>
      <w:r>
        <w:t xml:space="preserve">Une passphrase apportée ne vaut que le hasard de ses dés, que la bibliothèque ne peut pas vérifier (§5.5)</w:t>
      </w:r>
    </w:p>
    <w:p>
      <w:pPr>
        <w:pStyle w:val="FirstParagraph"/>
      </w:pPr>
      <w:r>
        <w:t xml:space="preserve">Ces limites sont voulues. Un système avec des recours infinis a une surface d’attaque infinie.</w:t>
      </w:r>
    </w:p>
    <w:p>
      <w:r>
        <w:pict>
          <v:rect style="width:0;height:1.5pt" o:hralign="center" o:hrstd="t" o:hr="t"/>
        </w:pict>
      </w:r>
    </w:p>
    <w:bookmarkEnd w:id="46"/>
    <w:bookmarkEnd w:id="47"/>
    <w:bookmarkStart w:id="53"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8" w:name="accès-serveur"/>
    <w:p>
      <w:pPr>
        <w:pStyle w:val="Heading3"/>
      </w:pPr>
      <w:r>
        <w:t xml:space="preserve">11.1 Accès serveur</w:t>
      </w:r>
    </w:p>
    <w:p>
      <w:pPr>
        <w:pStyle w:val="Compact"/>
        <w:numPr>
          <w:ilvl w:val="0"/>
          <w:numId w:val="1020"/>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20"/>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20"/>
        </w:numPr>
      </w:pPr>
      <w:r>
        <w:t xml:space="preserve">☐ Firewall actif (UFW / iptables) — exposer uniquement les ports 80, 443 et SSH</w:t>
      </w:r>
    </w:p>
    <w:bookmarkEnd w:id="48"/>
    <w:bookmarkStart w:id="49" w:name="base-de-données"/>
    <w:p>
      <w:pPr>
        <w:pStyle w:val="Heading3"/>
      </w:pPr>
      <w:r>
        <w:t xml:space="preserve">11.2 Base de données</w:t>
      </w:r>
    </w:p>
    <w:p>
      <w:pPr>
        <w:pStyle w:val="Compact"/>
        <w:numPr>
          <w:ilvl w:val="0"/>
          <w:numId w:val="1021"/>
        </w:numPr>
      </w:pPr>
      <w:r>
        <w:t xml:space="preserve">☐ Prepared statements (PDO / requêtes paramétrées) pour TOUTES les requêtes SQL — sans exception</w:t>
      </w:r>
    </w:p>
    <w:p>
      <w:pPr>
        <w:pStyle w:val="Compact"/>
        <w:numPr>
          <w:ilvl w:val="0"/>
          <w:numId w:val="1021"/>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1"/>
        </w:numPr>
      </w:pPr>
      <w:r>
        <w:t xml:space="preserve">☐ Pas de phpMyAdmin ou Adminer exposé sur internet</w:t>
      </w:r>
    </w:p>
    <w:p>
      <w:pPr>
        <w:pStyle w:val="Compact"/>
        <w:numPr>
          <w:ilvl w:val="0"/>
          <w:numId w:val="1021"/>
        </w:numPr>
      </w:pPr>
      <w:r>
        <w:t xml:space="preserve">☐ Backups chiffrés au repos (gpg ou openssl) — un dump en clair est une faille</w:t>
      </w:r>
    </w:p>
    <w:p>
      <w:pPr>
        <w:pStyle w:val="Compact"/>
        <w:numPr>
          <w:ilvl w:val="0"/>
          <w:numId w:val="1021"/>
        </w:numPr>
      </w:pPr>
      <w:r>
        <w:t xml:space="preserve">☐ Stockage des backups isolé du web root — pas accessible via HTTP</w:t>
      </w:r>
    </w:p>
    <w:bookmarkEnd w:id="49"/>
    <w:bookmarkStart w:id="50" w:name="application"/>
    <w:p>
      <w:pPr>
        <w:pStyle w:val="Heading3"/>
      </w:pPr>
      <w:r>
        <w:t xml:space="preserve">11.3 Application</w:t>
      </w:r>
    </w:p>
    <w:p>
      <w:pPr>
        <w:pStyle w:val="Compact"/>
        <w:numPr>
          <w:ilvl w:val="0"/>
          <w:numId w:val="1022"/>
        </w:numPr>
      </w:pPr>
      <w:r>
        <w:t xml:space="preserve">☐ HTTPS obligatoire sur le web ordinaire — en mode</w:t>
      </w:r>
      <w:r>
        <w:t xml:space="preserve"> </w:t>
      </w:r>
      <w:r>
        <w:rPr>
          <w:rStyle w:val="VerbatimChar"/>
        </w:rPr>
        <w:t xml:space="preserve">'hostname'</w:t>
      </w:r>
      <w:r>
        <w:t xml:space="preserve"> </w:t>
      </w:r>
      <w:r>
        <w:t xml:space="preserve">la dérivation lit le nom d’hôte, et sans TLS rien ne garantit que la page servie vient bien de ce service ; sur un service caché v3, l’adresse est la clé publique du service (§4.1)</w:t>
      </w:r>
    </w:p>
    <w:p>
      <w:pPr>
        <w:pStyle w:val="Compact"/>
        <w:numPr>
          <w:ilvl w:val="0"/>
          <w:numId w:val="1022"/>
        </w:numPr>
      </w:pPr>
      <w:r>
        <w:t xml:space="preserve">☐ Rate limiting sur tous les endpoints de recovery (nginx</w:t>
      </w:r>
      <w:r>
        <w:t xml:space="preserve"> </w:t>
      </w:r>
      <w:r>
        <w:rPr>
          <w:rStyle w:val="VerbatimChar"/>
        </w:rPr>
        <w:t xml:space="preserve">limit_req</w:t>
      </w:r>
      <w:r>
        <w:t xml:space="preserve"> </w:t>
      </w:r>
      <w:r>
        <w:t xml:space="preserve">ou applicatif)</w:t>
      </w:r>
    </w:p>
    <w:p>
      <w:pPr>
        <w:pStyle w:val="Compact"/>
        <w:numPr>
          <w:ilvl w:val="0"/>
          <w:numId w:val="1022"/>
        </w:numPr>
      </w:pPr>
      <w:r>
        <w:t xml:space="preserve">☐ Headers de sécurité : CSP, X-Frame-Options, X-Content-Type-Options, Referrer-Policy</w:t>
      </w:r>
    </w:p>
    <w:p>
      <w:pPr>
        <w:pStyle w:val="Compact"/>
        <w:numPr>
          <w:ilvl w:val="0"/>
          <w:numId w:val="1022"/>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Scripts init et migration bloqués en production (deny all ou supprimer)</w:t>
      </w:r>
    </w:p>
    <w:bookmarkEnd w:id="50"/>
    <w:bookmarkStart w:id="51" w:name="monitoring"/>
    <w:p>
      <w:pPr>
        <w:pStyle w:val="Heading3"/>
      </w:pPr>
      <w:r>
        <w:t xml:space="preserve">11.4 Monitoring</w:t>
      </w:r>
    </w:p>
    <w:p>
      <w:pPr>
        <w:pStyle w:val="Compact"/>
        <w:numPr>
          <w:ilvl w:val="0"/>
          <w:numId w:val="1023"/>
        </w:numPr>
      </w:pPr>
      <w:r>
        <w:t xml:space="preserve">☐ Logger toutes les tentatives de recovery (niveau, succès/échec, IP — jamais le mot de récupération)</w:t>
      </w:r>
    </w:p>
    <w:p>
      <w:pPr>
        <w:pStyle w:val="Compact"/>
        <w:numPr>
          <w:ilvl w:val="0"/>
          <w:numId w:val="1023"/>
        </w:numPr>
      </w:pPr>
      <w:r>
        <w:t xml:space="preserve">☐ Alerter sur les échecs répétés L2/L3 pour un même compte</w:t>
      </w:r>
    </w:p>
    <w:p>
      <w:pPr>
        <w:pStyle w:val="Compact"/>
        <w:numPr>
          <w:ilvl w:val="0"/>
          <w:numId w:val="1023"/>
        </w:numPr>
      </w:pPr>
      <w:r>
        <w:t xml:space="preserve">☐ Vérification automatisée des backups (test de restauration périodique)</w:t>
      </w:r>
    </w:p>
    <w:bookmarkEnd w:id="51"/>
    <w:bookmarkStart w:id="52" w:name="intégration-de-la-bibliothèque"/>
    <w:p>
      <w:pPr>
        <w:pStyle w:val="Heading3"/>
      </w:pPr>
      <w:r>
        <w:t xml:space="preserve">11.5 Intégration de la bibliothèque</w:t>
      </w:r>
    </w:p>
    <w:p>
      <w:pPr>
        <w:pStyle w:val="Compact"/>
        <w:numPr>
          <w:ilvl w:val="0"/>
          <w:numId w:val="1024"/>
        </w:numPr>
      </w:pPr>
      <w:r>
        <w:t xml:space="preserve">☐ Déclarer le profil de déploiement,</w:t>
      </w:r>
      <w:r>
        <w:t xml:space="preserve"> </w:t>
      </w:r>
      <w:r>
        <w:rPr>
          <w:rStyle w:val="VerbatimChar"/>
        </w:rPr>
        <w:t xml:space="preserve">clearweb</w:t>
      </w:r>
      <w:r>
        <w:t xml:space="preserve"> </w:t>
      </w:r>
      <w:r>
        <w:t xml:space="preserve">ou</w:t>
      </w:r>
      <w:r>
        <w:t xml:space="preserve"> </w:t>
      </w:r>
      <w:r>
        <w:rPr>
          <w:rStyle w:val="VerbatimChar"/>
        </w:rPr>
        <w:t xml:space="preserve">tor-onion</w:t>
      </w:r>
      <w:r>
        <w:t xml:space="preserve"> </w:t>
      </w:r>
      <w:r>
        <w:t xml:space="preserve">: il est obligatoire, sans défaut</w:t>
      </w:r>
    </w:p>
    <w:p>
      <w:pPr>
        <w:pStyle w:val="Compact"/>
        <w:numPr>
          <w:ilvl w:val="0"/>
          <w:numId w:val="1024"/>
        </w:numPr>
      </w:pPr>
      <w:r>
        <w:t xml:space="preserve">☐ Garder le sel du déploiement hors racine web, et ne jamais le tourner sans réémettre toutes les feuilles de codes</w:t>
      </w:r>
    </w:p>
    <w:p>
      <w:pPr>
        <w:pStyle w:val="Compact"/>
        <w:numPr>
          <w:ilvl w:val="0"/>
          <w:numId w:val="1024"/>
        </w:numPr>
      </w:pPr>
      <w:r>
        <w:t xml:space="preserve">☐ Servir la route du sel par</w:t>
      </w:r>
      <w:r>
        <w:t xml:space="preserve"> </w:t>
      </w:r>
      <w:r>
        <w:rPr>
          <w:rStyle w:val="VerbatimChar"/>
        </w:rPr>
        <w:t xml:space="preserve">Recovery::selDeDerivation()</w:t>
      </w:r>
      <w:r>
        <w:t xml:space="preserve">, et la freiner</w:t>
      </w:r>
    </w:p>
    <w:p>
      <w:pPr>
        <w:pStyle w:val="Compact"/>
        <w:numPr>
          <w:ilvl w:val="0"/>
          <w:numId w:val="1024"/>
        </w:numPr>
      </w:pPr>
      <w:r>
        <w:t xml:space="preserve">☐ Enrôlement d’un appareil : tirer le nom du compte de la session, jamais du corps de la requête, et passer</w:t>
      </w:r>
      <w:r>
        <w:t xml:space="preserve"> </w:t>
      </w:r>
      <w:r>
        <w:rPr>
          <w:rStyle w:val="VerbatimChar"/>
        </w:rPr>
        <w:t xml:space="preserve">Titulaire::AUTHENTIFIE</w:t>
      </w:r>
    </w:p>
    <w:p>
      <w:pPr>
        <w:pStyle w:val="Compact"/>
        <w:numPr>
          <w:ilvl w:val="0"/>
          <w:numId w:val="1024"/>
        </w:numPr>
      </w:pPr>
      <w:r>
        <w:t xml:space="preserve">☐ Vérifier la qualité d’arbitre avant</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et</w:t>
      </w:r>
      <w:r>
        <w:t xml:space="preserve"> </w:t>
      </w:r>
      <w:r>
        <w:rPr>
          <w:rStyle w:val="VerbatimChar"/>
        </w:rPr>
        <w:t xml:space="preserve">abandonner()</w:t>
      </w:r>
      <w:r>
        <w:t xml:space="preserve"> </w:t>
      </w:r>
      <w:r>
        <w:t xml:space="preserve">: la bibliothèque ne la vérifie pas</w:t>
      </w:r>
    </w:p>
    <w:p>
      <w:pPr>
        <w:pStyle w:val="Compact"/>
        <w:numPr>
          <w:ilvl w:val="0"/>
          <w:numId w:val="1024"/>
        </w:numPr>
      </w:pPr>
      <w:r>
        <w:t xml:space="preserve">☐ Appeler</w:t>
      </w:r>
      <w:r>
        <w:t xml:space="preserve"> </w:t>
      </w:r>
      <w:r>
        <w:rPr>
          <w:rStyle w:val="VerbatimChar"/>
        </w:rPr>
        <w:t xml:space="preserve">purger()</w:t>
      </w:r>
      <w:r>
        <w:t xml:space="preserve"> </w:t>
      </w:r>
      <w:r>
        <w:t xml:space="preserve">depuis une tâche planifiée : la bibliothèque n’a pas d’horloge</w:t>
      </w:r>
    </w:p>
    <w:p>
      <w:pPr>
        <w:pStyle w:val="Compact"/>
        <w:numPr>
          <w:ilvl w:val="0"/>
          <w:numId w:val="1024"/>
        </w:numPr>
      </w:pPr>
      <w:r>
        <w:t xml:space="preserve">☐ Poser une preuve de travail devant la route d’ouverture du niveau 3</w:t>
      </w:r>
    </w:p>
    <w:p>
      <w:pPr>
        <w:pStyle w:val="Compact"/>
        <w:numPr>
          <w:ilvl w:val="0"/>
          <w:numId w:val="1024"/>
        </w:numPr>
      </w:pPr>
      <w:r>
        <w:t xml:space="preserve">☐ Avec l’adaptateur fourni, construire</w:t>
      </w:r>
      <w:r>
        <w:t xml:space="preserve"> </w:t>
      </w:r>
      <w:r>
        <w:rPr>
          <w:rStyle w:val="VerbatimChar"/>
        </w:rPr>
        <w:t xml:space="preserve">StockagePdo</w:t>
      </w:r>
      <w:r>
        <w:t xml:space="preserve"> </w:t>
      </w:r>
      <w:r>
        <w:t xml:space="preserve">avec l’hôte de dérivation</w:t>
      </w:r>
    </w:p>
    <w:p>
      <w:pPr>
        <w:pStyle w:val="Compact"/>
        <w:numPr>
          <w:ilvl w:val="0"/>
          <w:numId w:val="1024"/>
        </w:numPr>
      </w:pPr>
      <w:r>
        <w:t xml:space="preserve">☐ Passphrase apportée : passer la saisie à</w:t>
      </w:r>
      <w:r>
        <w:t xml:space="preserve"> </w:t>
      </w:r>
      <w:r>
        <w:rPr>
          <w:rStyle w:val="VerbatimChar"/>
        </w:rPr>
        <w:t xml:space="preserve">Recovery::validerPassphraseApportee()</w:t>
      </w:r>
      <w:r>
        <w:t xml:space="preserve">, hacher et afficher la forme rendue, poser</w:t>
      </w:r>
      <w:r>
        <w:t xml:space="preserve"> </w:t>
      </w:r>
      <w:r>
        <w:rPr>
          <w:rStyle w:val="VerbatimChar"/>
        </w:rPr>
        <w:t xml:space="preserve">autocapitalize="none"</w:t>
      </w:r>
      <w:r>
        <w:t xml:space="preserve"> </w:t>
      </w:r>
      <w:r>
        <w:t xml:space="preserve">sur les champs passphrase</w:t>
      </w:r>
    </w:p>
    <w:p>
      <w:pPr>
        <w:pStyle w:val="FirstParagraph"/>
      </w:pPr>
      <w:r>
        <w:t xml:space="preserve">Un déploiement qui ignore cette checklist n’est pas un déploiement SelfRecover — c’est une passoire.</w:t>
      </w:r>
    </w:p>
    <w:p>
      <w:r>
        <w:pict>
          <v:rect style="width:0;height:1.5pt" o:hralign="center" o:hrstd="t" o:hr="t"/>
        </w:pict>
      </w:r>
    </w:p>
    <w:bookmarkEnd w:id="52"/>
    <w:bookmarkEnd w:id="53"/>
    <w:bookmarkStart w:id="59" w:name="guide-dintégration"/>
    <w:p>
      <w:pPr>
        <w:pStyle w:val="Heading2"/>
      </w:pPr>
      <w:r>
        <w:t xml:space="preserve">12. Guide d’intégration</w:t>
      </w:r>
    </w:p>
    <w:bookmarkStart w:id="54" w:name="pré-requis"/>
    <w:p>
      <w:pPr>
        <w:pStyle w:val="Heading3"/>
      </w:pPr>
      <w:r>
        <w:t xml:space="preserve">12.1 Pré-requis</w:t>
      </w:r>
    </w:p>
    <w:p>
      <w:pPr>
        <w:pStyle w:val="Compact"/>
        <w:numPr>
          <w:ilvl w:val="0"/>
          <w:numId w:val="1025"/>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w:t>
      </w:r>
      <w:r>
        <w:t xml:space="preserve">—, et un PHP qui fournit</w:t>
      </w:r>
      <w:r>
        <w:t xml:space="preserve"> </w:t>
      </w:r>
      <w:r>
        <w:rPr>
          <w:rStyle w:val="VerbatimChar"/>
        </w:rPr>
        <w:t xml:space="preserve">PASSWORD_ARGON2ID</w:t>
      </w:r>
      <w:r>
        <w:t xml:space="preserve">, ce que</w:t>
      </w:r>
      <w:r>
        <w:t xml:space="preserve"> </w:t>
      </w:r>
      <w:r>
        <w:rPr>
          <w:rStyle w:val="VerbatimChar"/>
        </w:rPr>
        <w:t xml:space="preserve">composer.json</w:t>
      </w:r>
      <w:r>
        <w:t xml:space="preserve"> </w:t>
      </w:r>
      <w:r>
        <w:t xml:space="preserve">ne peut pas exiger. L’implémentation de référence est en PHP ; il n’en existe pas d’autre côté serveur</w:t>
      </w:r>
    </w:p>
    <w:p>
      <w:pPr>
        <w:pStyle w:val="Compact"/>
        <w:numPr>
          <w:ilvl w:val="0"/>
          <w:numId w:val="1025"/>
        </w:numPr>
      </w:pPr>
      <w:r>
        <w:t xml:space="preserve">Une base SQL. Le schéma et l’adaptateur fournis ciblent SQLite (</w:t>
      </w:r>
      <w:r>
        <w:rPr>
          <w:rStyle w:val="VerbatimChar"/>
        </w:rPr>
        <w:t xml:space="preserve">ext-pdo_sqlite</w:t>
      </w:r>
      <w:r>
        <w:t xml:space="preserve">) ; ailleurs, les types de colonnes et trois constructions de l’adaptateur (quatre requêtes) se réécrivent — l’en-tête de</w:t>
      </w:r>
      <w:r>
        <w:t xml:space="preserve"> </w:t>
      </w:r>
      <w:r>
        <w:rPr>
          <w:rStyle w:val="VerbatimChar"/>
        </w:rPr>
        <w:t xml:space="preserve">schema.sql</w:t>
      </w:r>
      <w:r>
        <w:t xml:space="preserve"> </w:t>
      </w:r>
      <w:r>
        <w:t xml:space="preserve">les nomme, ou l’intégrateur écrit son propre adaptateur de</w:t>
      </w:r>
      <w:r>
        <w:t xml:space="preserve"> </w:t>
      </w:r>
      <w:r>
        <w:rPr>
          <w:rStyle w:val="VerbatimChar"/>
        </w:rPr>
        <w:t xml:space="preserve">StorageInterface</w:t>
      </w:r>
    </w:p>
    <w:p>
      <w:pPr>
        <w:pStyle w:val="Compact"/>
        <w:numPr>
          <w:ilvl w:val="0"/>
          <w:numId w:val="1025"/>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r>
        <w:t xml:space="preserve">. Le facteur « cet appareil » ajoute</w:t>
      </w:r>
      <w:r>
        <w:t xml:space="preserve"> </w:t>
      </w:r>
      <w:r>
        <w:rPr>
          <w:rStyle w:val="VerbatimChar"/>
        </w:rPr>
        <w:t xml:space="preserve">client/argon2id.js</w:t>
      </w:r>
      <w:r>
        <w:t xml:space="preserve"> </w:t>
      </w:r>
      <w:r>
        <w:t xml:space="preserve">puis</w:t>
      </w:r>
      <w:r>
        <w:t xml:space="preserve"> </w:t>
      </w:r>
      <w:r>
        <w:rPr>
          <w:rStyle w:val="VerbatimChar"/>
        </w:rPr>
        <w:t xml:space="preserve">client/sr-kdf.js</w:t>
      </w:r>
      <w:r>
        <w:t xml:space="preserve">, Web Crypto n’offrant pas Argon2id</w:t>
      </w:r>
    </w:p>
    <w:p>
      <w:pPr>
        <w:pStyle w:val="Compact"/>
        <w:numPr>
          <w:ilvl w:val="0"/>
          <w:numId w:val="1025"/>
        </w:numPr>
      </w:pPr>
      <w:r>
        <w:t xml:space="preserve">HTTPS obligatoire sur le web ordinaire (§11.3)</w:t>
      </w:r>
    </w:p>
    <w:bookmarkEnd w:id="54"/>
    <w:bookmarkStart w:id="58"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 la bibliothèque s’installe depuis un clone du dépôt, par un dépôt Composer de type</w:t>
      </w:r>
      <w:r>
        <w:t xml:space="preserve"> </w:t>
      </w:r>
      <w:r>
        <w:rPr>
          <w:rStyle w:val="VerbatimChar"/>
        </w:rPr>
        <w:t xml:space="preserve">path</w:t>
      </w:r>
      <w:r>
        <w:t xml:space="preserve">. Pour la voir à l’œuvre : la démo servie (</w:t>
      </w:r>
      <w:hyperlink r:id="rId55">
        <w:r>
          <w:rPr>
            <w:rStyle w:val="VerbatimChar"/>
          </w:rPr>
          <w:t xml:space="preserve">demo/bi-self-duo/</w:t>
        </w:r>
      </w:hyperlink>
      <w:r>
        <w:t xml:space="preserve">), le laboratoire (</w:t>
      </w:r>
      <w:hyperlink r:id="rId56">
        <w:r>
          <w:rPr>
            <w:rStyle w:val="Hyperlink"/>
          </w:rPr>
          <w:t xml:space="preserve">MySelf-Lab</w:t>
        </w:r>
      </w:hyperlink>
      <w:r>
        <w:t xml:space="preserve">), et</w:t>
      </w:r>
      <w:r>
        <w:t xml:space="preserve"> </w:t>
      </w:r>
      <w:hyperlink r:id="rId57">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8"/>
    <w:bookmarkEnd w:id="59"/>
    <w:bookmarkStart w:id="60"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60"/>
    <w:bookmarkStart w:id="61" w:name="feuille-de-route"/>
    <w:p>
      <w:pPr>
        <w:pStyle w:val="Heading2"/>
      </w:pPr>
      <w:r>
        <w:t xml:space="preserve">14. Feuille de route</w:t>
      </w:r>
    </w:p>
    <w:p>
      <w:pPr>
        <w:pStyle w:val="Compact"/>
        <w:numPr>
          <w:ilvl w:val="0"/>
          <w:numId w:val="1026"/>
        </w:numPr>
      </w:pPr>
      <w:r>
        <w:t xml:space="preserve">☒ Spécification du protocole (v1.4)</w:t>
      </w:r>
    </w:p>
    <w:p>
      <w:pPr>
        <w:pStyle w:val="Compact"/>
        <w:numPr>
          <w:ilvl w:val="0"/>
          <w:numId w:val="1026"/>
        </w:numPr>
      </w:pPr>
      <w:r>
        <w:t xml:space="preserve">☒ Implémentation de référence (ce dépôt)</w:t>
      </w:r>
    </w:p>
    <w:p>
      <w:pPr>
        <w:pStyle w:val="Compact"/>
        <w:numPr>
          <w:ilvl w:val="0"/>
          <w:numId w:val="1026"/>
        </w:numPr>
      </w:pPr>
      <w:r>
        <w:t xml:space="preserve">☒ Livres blancs EN + FR</w:t>
      </w:r>
    </w:p>
    <w:p>
      <w:pPr>
        <w:pStyle w:val="Compact"/>
        <w:numPr>
          <w:ilvl w:val="0"/>
          <w:numId w:val="1026"/>
        </w:numPr>
      </w:pPr>
      <w:r>
        <w:t xml:space="preserve">☒ Démo servie (</w:t>
      </w:r>
      <w:r>
        <w:rPr>
          <w:rStyle w:val="VerbatimChar"/>
        </w:rPr>
        <w:t xml:space="preserve">demo/bi-self-duo/</w:t>
      </w:r>
      <w:r>
        <w:t xml:space="preserve">) et laboratoire (</w:t>
      </w:r>
      <w:r>
        <w:rPr>
          <w:rStyle w:val="VerbatimChar"/>
        </w:rPr>
        <w:t xml:space="preserve">demo/lab/</w:t>
      </w:r>
      <w:r>
        <w:t xml:space="preserve">) — la démo autonome a été retirée le 18 août 2026</w:t>
      </w:r>
    </w:p>
    <w:p>
      <w:pPr>
        <w:pStyle w:val="Compact"/>
        <w:numPr>
          <w:ilvl w:val="0"/>
          <w:numId w:val="1026"/>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6"/>
        </w:numPr>
      </w:pPr>
      <w:r>
        <w:t xml:space="preserve">☒ Les trois niveaux dans la bibliothèque, niveau 3 compris (</w:t>
      </w:r>
      <w:r>
        <w:rPr>
          <w:rStyle w:val="VerbatimChar"/>
        </w:rPr>
        <w:t xml:space="preserve">Escalade</w:t>
      </w:r>
      <w:r>
        <w:t xml:space="preserve">)</w:t>
      </w:r>
    </w:p>
    <w:p>
      <w:pPr>
        <w:pStyle w:val="Compact"/>
        <w:numPr>
          <w:ilvl w:val="0"/>
          <w:numId w:val="1026"/>
        </w:numPr>
      </w:pPr>
      <w:r>
        <w:t xml:space="preserve">☒ Facteur « cet appareil », et son chiffrement local en Argon2id (</w:t>
      </w:r>
      <w:r>
        <w:rPr>
          <w:rStyle w:val="VerbatimChar"/>
        </w:rPr>
        <w:t xml:space="preserve">client/sr-kdf.js</w:t>
      </w:r>
      <w:r>
        <w:t xml:space="preserve">)</w:t>
      </w:r>
    </w:p>
    <w:p>
      <w:pPr>
        <w:pStyle w:val="Compact"/>
        <w:numPr>
          <w:ilvl w:val="0"/>
          <w:numId w:val="1026"/>
        </w:numPr>
      </w:pPr>
      <w:r>
        <w:t xml:space="preserve">☒ Implémentation fournie du stockage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Profil de déploiement obligatoire, freins par compte, suspension du niveau 2</w:t>
      </w:r>
    </w:p>
    <w:p>
      <w:pPr>
        <w:pStyle w:val="Compact"/>
        <w:numPr>
          <w:ilvl w:val="0"/>
          <w:numId w:val="1026"/>
        </w:numPr>
      </w:pPr>
      <w:r>
        <w:t xml:space="preserve">☒ Retrait des appareils à la reprise du niveau 3, échéance de l’accord</w:t>
      </w:r>
    </w:p>
    <w:p>
      <w:pPr>
        <w:pStyle w:val="Compact"/>
        <w:numPr>
          <w:ilvl w:val="0"/>
          <w:numId w:val="1026"/>
        </w:numPr>
      </w:pPr>
      <w:r>
        <w:t xml:space="preserve">☒ Garde de la route du sel (</w:t>
      </w:r>
      <w:r>
        <w:rPr>
          <w:rStyle w:val="VerbatimChar"/>
        </w:rPr>
        <w:t xml:space="preserve">Recovery::selDeDerivation</w:t>
      </w:r>
      <w:r>
        <w:t xml:space="preserve">)</w:t>
      </w:r>
    </w:p>
    <w:p>
      <w:pPr>
        <w:pStyle w:val="Compact"/>
        <w:numPr>
          <w:ilvl w:val="0"/>
          <w:numId w:val="1026"/>
        </w:numPr>
      </w:pPr>
      <w:r>
        <w:t xml:space="preserve">☒ Passphrase apportée par l’utilisateur, tirée aux dés (</w:t>
      </w:r>
      <w:r>
        <w:rPr>
          <w:rStyle w:val="VerbatimChar"/>
        </w:rPr>
        <w:t xml:space="preserve">Recovery::validerPassphraseApportee</w:t>
      </w:r>
      <w:r>
        <w:t xml:space="preserve">)</w:t>
      </w:r>
    </w:p>
    <w:p>
      <w:pPr>
        <w:pStyle w:val="Compact"/>
        <w:numPr>
          <w:ilvl w:val="0"/>
          <w:numId w:val="1026"/>
        </w:numPr>
      </w:pPr>
      <w:r>
        <w:t xml:space="preserve">☐ Audit de sécurité externe (communauté bienvenue)</w:t>
      </w:r>
    </w:p>
    <w:p>
      <w:pPr>
        <w:pStyle w:val="Compact"/>
        <w:numPr>
          <w:ilvl w:val="0"/>
          <w:numId w:val="1026"/>
        </w:numPr>
      </w:pPr>
      <w:r>
        <w:t xml:space="preserve">☐ Publication sur Packagist (</w:t>
      </w:r>
      <w:r>
        <w:rPr>
          <w:rStyle w:val="VerbatimChar"/>
        </w:rPr>
        <w:t xml:space="preserve">composer require pierroons/selfrecover</w:t>
      </w:r>
      <w:r>
        <w:t xml:space="preserve">)</w:t>
      </w:r>
    </w:p>
    <w:p>
      <w:pPr>
        <w:pStyle w:val="Compact"/>
        <w:numPr>
          <w:ilvl w:val="0"/>
          <w:numId w:val="1026"/>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6"/>
        </w:numPr>
      </w:pPr>
      <w:r>
        <w:t xml:space="preserve">☐ Plugin WordPress</w:t>
      </w:r>
    </w:p>
    <w:p>
      <w:pPr>
        <w:pStyle w:val="Compact"/>
        <w:numPr>
          <w:ilvl w:val="0"/>
          <w:numId w:val="1026"/>
        </w:numPr>
      </w:pPr>
      <w:r>
        <w:t xml:space="preserve">☐ Package Laravel</w:t>
      </w:r>
    </w:p>
    <w:p>
      <w:pPr>
        <w:pStyle w:val="Compact"/>
        <w:numPr>
          <w:ilvl w:val="0"/>
          <w:numId w:val="1026"/>
        </w:numPr>
      </w:pPr>
      <w:r>
        <w:t xml:space="preserve">☐ Portages vers Python, Go, Rust, Node</w:t>
      </w:r>
    </w:p>
    <w:p>
      <w:r>
        <w:pict>
          <v:rect style="width:0;height:1.5pt" o:hralign="center" o:hrstd="t" o:hr="t"/>
        </w:pict>
      </w:r>
    </w:p>
    <w:bookmarkEnd w:id="61"/>
    <w:bookmarkStart w:id="62"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7"/>
        </w:numPr>
      </w:pPr>
      <w:r>
        <w:t xml:space="preserve">Audits de sécurité et tests d’intrusion bienvenus</w:t>
      </w:r>
    </w:p>
    <w:p>
      <w:pPr>
        <w:pStyle w:val="Compact"/>
        <w:numPr>
          <w:ilvl w:val="0"/>
          <w:numId w:val="1027"/>
        </w:numPr>
      </w:pPr>
      <w:r>
        <w:t xml:space="preserve">Retours d’expérience de déploiements en production</w:t>
      </w:r>
    </w:p>
    <w:p>
      <w:pPr>
        <w:pStyle w:val="Compact"/>
        <w:numPr>
          <w:ilvl w:val="0"/>
          <w:numId w:val="1027"/>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qu’une identité ne devrait pas dépendre d’une boîte mail.</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2026-10-06T20:25:30Z</dcterms:created>
  <dcterms:modified xsi:type="dcterms:W3CDTF">2026-10-06T20:25:30Z</dcterms:modified>
</cp:coreProperties>
</file>

<file path=docProps/custom.xml><?xml version="1.0" encoding="utf-8"?>
<Properties xmlns="http://schemas.openxmlformats.org/officeDocument/2006/custom-properties" xmlns:vt="http://schemas.openxmlformats.org/officeDocument/2006/docPropsVTypes"/>
</file>