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elfrecover-whitepaper-v1.2"/>
    <w:p>
      <w:pPr>
        <w:pStyle w:val="Heading1"/>
      </w:pPr>
      <w:r>
        <w:t xml:space="preserve">SelfRecover — Whitepaper v1.2</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4 October 2026 — v1.2 — describes SelfRecover 0.9.0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are server-generated and do pass through the server.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The real question nobody asks:</w:t>
      </w:r>
      <w:r>
        <w:t xml:space="preserve"> </w:t>
      </w:r>
      <w:r>
        <w:t xml:space="preserve">why does a website need your email to prove you are you?</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(6 words, ≈ 77.5 bits of entropy;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hash uses one Argon2id profile: 64 MiB, 4 iterations, 2 threads (</w:t>
      </w:r>
      <w:r>
        <w:rPr>
          <w:rStyle w:val="VerbatimChar"/>
        </w:rPr>
        <w:t xml:space="preserve">Hashing::ARGON2</w:t>
      </w:r>
      <w:r>
        <w:t xml:space="preserve">).</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a fresh passphrase and 10 codes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5"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5 failures / 15 minutes per account and 12 per address (defaults, set by the integrator). The per-address brake only exists under the</w:t>
      </w:r>
      <w:r>
        <w:t xml:space="preserve"> </w:t>
      </w:r>
      <w:r>
        <w:rPr>
          <w:rStyle w:val="VerbatimChar"/>
        </w:rPr>
        <w:t xml:space="preserve">clearweb</w:t>
      </w:r>
      <w:r>
        <w:t xml:space="preserve"> </w:t>
      </w:r>
      <w:r>
        <w:t xml:space="preserve">deployment profile; behind a hidden service, the</w:t>
      </w:r>
      <w:r>
        <w:t xml:space="preserve"> </w:t>
      </w:r>
      <w:r>
        <w:rPr>
          <w:rStyle w:val="VerbatimChar"/>
        </w:rPr>
        <w:t xml:space="preserve">tor-onion</w:t>
      </w:r>
      <w:r>
        <w:t xml:space="preserve"> </w:t>
      </w:r>
      <w:r>
        <w:t xml:space="preserve">profile keeps only the per-account brake. The profile is mandatory, with no default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(the raw word never leaves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whose fingerprint (SHA-256) alone is sent to the server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the number is</w:t>
      </w:r>
      <w:r>
        <w:t xml:space="preserve"> </w:t>
      </w:r>
      <w:r>
        <w:rPr>
          <w:b/>
          <w:bCs/>
        </w:rPr>
        <w:t xml:space="preserve">not re-disclosed</w:t>
      </w:r>
      <w:r>
        <w:t xml:space="preserve"> </w:t>
      </w:r>
      <w:r>
        <w:t xml:space="preserve">and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are</w:t>
      </w:r>
      <w:r>
        <w:t xml:space="preserve"> </w:t>
      </w:r>
      <w:r>
        <w:rPr>
          <w:b/>
          <w:bCs/>
        </w:rPr>
        <w:t xml:space="preserve">raw facts</w:t>
      </w:r>
      <w:r>
        <w:t xml:space="preserve">: they</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and 20 service-wide per hour (defaults).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p>
      <w:r>
        <w:pict>
          <v:rect style="width:0;height:1.5pt" o:hralign="center" o:hrstd="t" o:hr="t"/>
        </w:pict>
      </w:r>
    </w:p>
    <w:bookmarkEnd w:id="34"/>
    <w:bookmarkEnd w:id="35"/>
    <w:bookmarkStart w:id="38"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8"/>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8"/>
        </w:numPr>
      </w:pPr>
      <w:r>
        <w:t xml:space="preserve">The admin finds open disputes in their dashboard</w:t>
      </w:r>
    </w:p>
    <w:p>
      <w:pPr>
        <w:pStyle w:val="Compact"/>
        <w:numPr>
          <w:ilvl w:val="0"/>
          <w:numId w:val="1008"/>
        </w:numPr>
      </w:pPr>
      <w:r>
        <w:t xml:space="preserve">A bidirectional chat channel is available between admin and user, with access gated by the tracking code (polling, not real-time WebSocket to keep it simple)</w:t>
      </w:r>
    </w:p>
    <w:p>
      <w:pPr>
        <w:pStyle w:val="Compact"/>
        <w:numPr>
          <w:ilvl w:val="0"/>
          <w:numId w:val="1008"/>
        </w:numPr>
      </w:pPr>
      <w:r>
        <w:rPr>
          <w:rStyle w:val="VerbatimChar"/>
        </w:rPr>
        <w:t xml:space="preserve">purger()</w:t>
      </w:r>
      <w:r>
        <w:t xml:space="preserve"> </w:t>
      </w:r>
      <w:r>
        <w:t xml:space="preserve">erases expired disputes — neither the refused ones, on which the freeze is counted, nor the accepted ones, which a holder may still come back to consume. ⚠️ The library exposes the method;</w:t>
      </w:r>
      <w:r>
        <w:t xml:space="preserve"> </w:t>
      </w:r>
      <w:r>
        <w:rPr>
          <w:b/>
          <w:bCs/>
        </w:rPr>
        <w:t xml:space="preserve">it has no clock</w:t>
      </w:r>
      <w:r>
        <w:t xml:space="preserve">. Calling it is the deployment’s job, from a scheduled task.</w:t>
      </w:r>
    </w:p>
    <w:bookmarkStart w:id="36"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09"/>
        </w:numPr>
      </w:pPr>
      <w:r>
        <w:t xml:space="preserve">Admin verifies identity via the chat exchange</w:t>
      </w:r>
    </w:p>
    <w:p>
      <w:pPr>
        <w:pStyle w:val="Compact"/>
        <w:numPr>
          <w:ilvl w:val="0"/>
          <w:numId w:val="1009"/>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09"/>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a passphrase and 10 codes,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0"/>
        </w:numPr>
      </w:pPr>
      <w:r>
        <w:t xml:space="preserve">The admin does not find the proof of identity sufficient</w:t>
      </w:r>
    </w:p>
    <w:p>
      <w:pPr>
        <w:pStyle w:val="Compact"/>
        <w:numPr>
          <w:ilvl w:val="0"/>
          <w:numId w:val="1010"/>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0"/>
        </w:numPr>
      </w:pPr>
      <w:r>
        <w:rPr>
          <w:b/>
          <w:bCs/>
        </w:rPr>
        <w:t xml:space="preserve">The account is not touched</w:t>
      </w:r>
      <w:r>
        <w:t xml:space="preserve">: not deleted, not banned, not stripped of its codes. It stays usable</w:t>
      </w:r>
    </w:p>
    <w:p>
      <w:pPr>
        <w:pStyle w:val="Compact"/>
        <w:numPr>
          <w:ilvl w:val="0"/>
          <w:numId w:val="1010"/>
        </w:numPr>
      </w:pPr>
      <w:r>
        <w:t xml:space="preserve">On the</w:t>
      </w:r>
      <w:r>
        <w:t xml:space="preserve"> </w:t>
      </w:r>
      <w:r>
        <w:rPr>
          <w:b/>
          <w:bCs/>
        </w:rPr>
        <w:t xml:space="preserve">3rd refusal within a rolling 30-day window</w:t>
      </w:r>
      <w:r>
        <w:t xml:space="preserve">,</w:t>
      </w:r>
      <w:r>
        <w:t xml:space="preserve"> </w:t>
      </w:r>
      <w:r>
        <w:rPr>
          <w:i/>
          <w:iCs/>
        </w:rPr>
        <w:t xml:space="preserve">opening</w:t>
      </w:r>
      <w:r>
        <w:t xml:space="preserve"> </w:t>
      </w:r>
      <w:r>
        <w:t xml:space="preserve">new cases freezes for 7 days on that account. An administrator can lift the freeze, and the record of who lifted it is kept</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w:t>
      </w:r>
      <w:r>
        <w:t xml:space="preserve"> </w:t>
      </w:r>
      <w:r>
        <w:t xml:space="preserve">the freeze costs whoever insists without convincing, and costs the owner nothing — they keep signing in normally throughout. Counting is on</w:t>
      </w:r>
      <w:r>
        <w:t xml:space="preserve"> </w:t>
      </w:r>
      <w:r>
        <w:rPr>
          <w:b/>
          <w:bCs/>
        </w:rPr>
        <w:t xml:space="preserve">refused cases</w:t>
      </w:r>
      <w:r>
        <w:t xml:space="preserve">, not submissions: three submissions within one case remain one refusal, otherwise an honest owner’s persistence would trip the freeze as fast as a hostile campaign.</w:t>
      </w:r>
    </w:p>
    <w:bookmarkEnd w:id="36"/>
    <w:bookmarkStart w:id="37"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7"/>
    <w:bookmarkEnd w:id="38"/>
    <w:bookmarkStart w:id="39"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1"/>
        </w:numPr>
      </w:pPr>
      <w:r>
        <w:rPr>
          <w:b/>
          <w:bCs/>
        </w:rPr>
        <w:t xml:space="preserve">Counters</w:t>
      </w:r>
      <w:r>
        <w:t xml:space="preserve">: per account and per address at levels 1 and 2 and at device enrollment, with level-2 suspension after 20 failures; per address and service-wide when opening a level-3 dispute. The per-address brake only exists under the</w:t>
      </w:r>
      <w:r>
        <w:t xml:space="preserve"> </w:t>
      </w:r>
      <w:r>
        <w:rPr>
          <w:rStyle w:val="VerbatimChar"/>
        </w:rPr>
        <w:t xml:space="preserve">clearweb</w:t>
      </w:r>
      <w:r>
        <w:t xml:space="preserve"> </w:t>
      </w:r>
      <w:r>
        <w:t xml:space="preserve">profile</w:t>
      </w:r>
    </w:p>
    <w:p>
      <w:pPr>
        <w:pStyle w:val="Compact"/>
        <w:numPr>
          <w:ilvl w:val="0"/>
          <w:numId w:val="1011"/>
        </w:numPr>
      </w:pPr>
      <w:r>
        <w:rPr>
          <w:b/>
          <w:bCs/>
        </w:rPr>
        <w:t xml:space="preserve">Forced delay</w:t>
      </w:r>
      <w:r>
        <w:t xml:space="preserve"> </w:t>
      </w:r>
      <w:r>
        <w:t xml:space="preserve">on every refusal that hides a state</w:t>
      </w:r>
    </w:p>
    <w:p>
      <w:pPr>
        <w:pStyle w:val="Compact"/>
        <w:numPr>
          <w:ilvl w:val="0"/>
          <w:numId w:val="1011"/>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39"/>
    <w:bookmarkStart w:id="40"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a human-facing</w:t>
      </w:r>
      <w:r>
        <w:t xml:space="preserve"> </w:t>
      </w:r>
      <w:r>
        <w:rPr>
          <w:rStyle w:val="VerbatimChar"/>
        </w:rPr>
        <w:t xml:space="preserve">message</w:t>
      </w:r>
      <w:r>
        <w:t xml:space="preserve">, and for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compte_inconnu</w:t>
      </w:r>
      <w:r>
        <w:t xml:space="preserve">,</w:t>
      </w:r>
      <w:r>
        <w:t xml:space="preserve"> </w:t>
      </w:r>
      <w:r>
        <w:rPr>
          <w:rStyle w:val="VerbatimChar"/>
        </w:rPr>
        <w:t xml:space="preserve">gele</w:t>
      </w:r>
      <w:r>
        <w:t xml:space="preserve">,</w:t>
      </w:r>
      <w:r>
        <w:t xml:space="preserve"> </w:t>
      </w:r>
      <w:r>
        <w:rPr>
          <w:rStyle w:val="VerbatimChar"/>
        </w:rPr>
        <w:t xml:space="preserve">deja_ouvert</w:t>
      </w:r>
      <w:r>
        <w:t xml:space="preserv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 among others.</w:t>
      </w:r>
    </w:p>
    <w:p>
      <w:pPr>
        <w:pStyle w:val="BodyText"/>
      </w:pPr>
      <w:r>
        <w:t xml:space="preserve">The library reports nothing itself; it only records the attempts its brakes need. What a diagnostic report contains is the application’s call, and it never includes the recovery word (raw or derived), the passphrase, the password or the codes.</w:t>
      </w:r>
    </w:p>
    <w:p>
      <w:r>
        <w:pict>
          <v:rect style="width:0;height:1.5pt" o:hralign="center" o:hrstd="t" o:hr="t"/>
        </w:pict>
      </w:r>
    </w:p>
    <w:bookmarkEnd w:id="40"/>
    <w:bookmarkStart w:id="41"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2"/>
        </w:numPr>
      </w:pPr>
      <w:r>
        <w:rPr>
          <w:b/>
          <w:bCs/>
        </w:rPr>
        <w:t xml:space="preserve">Yes</w:t>
      </w:r>
      <w:r>
        <w:t xml:space="preserve"> </w:t>
      </w:r>
      <w:r>
        <w:t xml:space="preserve">→ failed attempts are cleared, the user continues normally; refused disputes still count toward the freeze (§6.1)</w:t>
      </w:r>
    </w:p>
    <w:p>
      <w:pPr>
        <w:pStyle w:val="Compact"/>
        <w:numPr>
          <w:ilvl w:val="0"/>
          <w:numId w:val="1012"/>
        </w:numPr>
      </w:pPr>
      <w:r>
        <w:rPr>
          <w:b/>
          <w:bCs/>
        </w:rPr>
        <w:t xml:space="preserve">No</w:t>
      </w:r>
      <w:r>
        <w:t xml:space="preserve"> </w:t>
      </w:r>
      <w:r>
        <w:t xml:space="preserve">→ enhanced protection activated behind the scenes:</w:t>
      </w:r>
    </w:p>
    <w:p>
      <w:pPr>
        <w:pStyle w:val="Compact"/>
        <w:numPr>
          <w:ilvl w:val="1"/>
          <w:numId w:val="1013"/>
        </w:numPr>
      </w:pPr>
      <w:r>
        <w:t xml:space="preserve">New password generated and shown to user</w:t>
      </w:r>
    </w:p>
    <w:p>
      <w:pPr>
        <w:pStyle w:val="Compact"/>
        <w:numPr>
          <w:ilvl w:val="1"/>
          <w:numId w:val="1013"/>
        </w:numPr>
      </w:pPr>
      <w:r>
        <w:t xml:space="preserve">Sessions revoked: whoever held the account is ejected</w:t>
      </w:r>
    </w:p>
    <w:p>
      <w:pPr>
        <w:pStyle w:val="Compact"/>
        <w:numPr>
          <w:ilvl w:val="1"/>
          <w:numId w:val="1013"/>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1"/>
    <w:bookmarkStart w:id="46" w:name="threat-model-limitations"/>
    <w:p>
      <w:pPr>
        <w:pStyle w:val="Heading2"/>
      </w:pPr>
      <w:r>
        <w:t xml:space="preserve">10. Threat Model &amp; Limitations</w:t>
      </w:r>
    </w:p>
    <w:bookmarkStart w:id="42" w:name="threats-addressed"/>
    <w:p>
      <w:pPr>
        <w:pStyle w:val="Heading3"/>
      </w:pPr>
      <w:r>
        <w:t xml:space="preserve">10.1 Threats addressed</w:t>
      </w:r>
    </w:p>
    <w:p>
      <w:pPr>
        <w:pStyle w:val="Compact"/>
        <w:numPr>
          <w:ilvl w:val="0"/>
          <w:numId w:val="1014"/>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4"/>
        </w:numPr>
      </w:pPr>
      <w:r>
        <w:rPr>
          <w:b/>
          <w:bCs/>
        </w:rPr>
        <w:t xml:space="preserve">Email account takeover</w:t>
      </w:r>
      <w:r>
        <w:t xml:space="preserve"> </w:t>
      </w:r>
      <w:r>
        <w:t xml:space="preserve">— there’s no email involved, anywhere</w:t>
      </w:r>
    </w:p>
    <w:p>
      <w:pPr>
        <w:pStyle w:val="Compact"/>
        <w:numPr>
          <w:ilvl w:val="0"/>
          <w:numId w:val="1014"/>
        </w:numPr>
      </w:pPr>
      <w:r>
        <w:rPr>
          <w:b/>
          <w:bCs/>
        </w:rPr>
        <w:t xml:space="preserve">SMTP provider failures</w:t>
      </w:r>
      <w:r>
        <w:t xml:space="preserve"> </w:t>
      </w:r>
      <w:r>
        <w:t xml:space="preserve">— no SMTP dependency</w:t>
      </w:r>
    </w:p>
    <w:p>
      <w:pPr>
        <w:pStyle w:val="Compact"/>
        <w:numPr>
          <w:ilvl w:val="0"/>
          <w:numId w:val="1014"/>
        </w:numPr>
      </w:pPr>
      <w:r>
        <w:rPr>
          <w:b/>
          <w:bCs/>
        </w:rPr>
        <w:t xml:space="preserve">Third-party trust</w:t>
      </w:r>
      <w:r>
        <w:t xml:space="preserve"> </w:t>
      </w:r>
      <w:r>
        <w:t xml:space="preserve">— only the site and the user are involved</w:t>
      </w:r>
    </w:p>
    <w:p>
      <w:pPr>
        <w:pStyle w:val="Compact"/>
        <w:numPr>
          <w:ilvl w:val="0"/>
          <w:numId w:val="1014"/>
        </w:numPr>
      </w:pPr>
      <w:r>
        <w:rPr>
          <w:b/>
          <w:bCs/>
        </w:rPr>
        <w:t xml:space="preserve">Braked brute force</w:t>
      </w:r>
      <w:r>
        <w:t xml:space="preserve"> </w:t>
      </w:r>
      <w:r>
        <w:t xml:space="preserve">— per account and per address at levels 1 and 2 and at enrollment, level-2 suspension after 20 failures, an Argon2id cost per server-side attempt</w:t>
      </w:r>
    </w:p>
    <w:p>
      <w:pPr>
        <w:pStyle w:val="Compact"/>
        <w:numPr>
          <w:ilvl w:val="0"/>
          <w:numId w:val="1014"/>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What opposes it is cost: two brakes applied before the account lookup (per address, per service), a delay on every refusal that hides a state, and a proof of work in front of the route — which the library cannot impose, having no routes</w:t>
      </w:r>
    </w:p>
    <w:p>
      <w:pPr>
        <w:pStyle w:val="Compact"/>
        <w:numPr>
          <w:ilvl w:val="0"/>
          <w:numId w:val="1014"/>
        </w:numPr>
      </w:pPr>
      <w:r>
        <w:rPr>
          <w:b/>
          <w:bCs/>
        </w:rPr>
        <w:t xml:space="preserve">Social reputation laundering</w:t>
      </w:r>
      <w:r>
        <w:t xml:space="preserve"> </w:t>
      </w:r>
      <w:r>
        <w:t xml:space="preserve">— the library offers no account rename; locking the name after registration is the application’s to enforce</w:t>
      </w:r>
    </w:p>
    <w:bookmarkEnd w:id="42"/>
    <w:bookmarkStart w:id="43"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5"/>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 always verify your</w:t>
      </w:r>
      <w:r>
        <w:t xml:space="preserve"> </w:t>
      </w:r>
      <w:r>
        <w:rPr>
          <w:rStyle w:val="VerbatimChar"/>
        </w:rPr>
        <w:t xml:space="preserve">/etc/sudoers.d/</w:t>
      </w:r>
      <w:r>
        <w:t xml:space="preserve"> </w:t>
      </w:r>
      <w:r>
        <w:t xml:space="preserve">on installation.</w:t>
      </w:r>
    </w:p>
    <w:p>
      <w:pPr>
        <w:pStyle w:val="Compact"/>
        <w:numPr>
          <w:ilvl w:val="0"/>
          <w:numId w:val="1015"/>
        </w:numPr>
      </w:pPr>
      <w:r>
        <w:t xml:space="preserve">If an attacker compromises the user account (SSH key leak, web vulnerability, etc.), they escalate to root with zero friction</w:t>
      </w:r>
    </w:p>
    <w:p>
      <w:pPr>
        <w:pStyle w:val="Compact"/>
        <w:numPr>
          <w:ilvl w:val="0"/>
          <w:numId w:val="1015"/>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6"/>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6"/>
        </w:numPr>
      </w:pPr>
      <w:r>
        <w:t xml:space="preserve">Set a strong diceware passphrase (minimum 6 words, 8 recommended) as the sudo user password</w:t>
      </w:r>
    </w:p>
    <w:p>
      <w:pPr>
        <w:pStyle w:val="Compact"/>
        <w:numPr>
          <w:ilvl w:val="0"/>
          <w:numId w:val="1016"/>
        </w:numPr>
      </w:pPr>
      <w:r>
        <w:rPr>
          <w:rStyle w:val="VerbatimChar"/>
        </w:rPr>
        <w:t xml:space="preserve">sudo</w:t>
      </w:r>
      <w:r>
        <w:t xml:space="preserve"> </w:t>
      </w:r>
      <w:r>
        <w:t xml:space="preserve">must require this passphrase for every privilege escalation</w:t>
      </w:r>
    </w:p>
    <w:p>
      <w:pPr>
        <w:pStyle w:val="Compact"/>
        <w:numPr>
          <w:ilvl w:val="0"/>
          <w:numId w:val="1016"/>
        </w:numPr>
      </w:pPr>
      <w:r>
        <w:t xml:space="preserve">The passphrase must be stored offline only (paper, not digital)</w:t>
      </w:r>
    </w:p>
    <w:p>
      <w:pPr>
        <w:pStyle w:val="Compact"/>
        <w:numPr>
          <w:ilvl w:val="0"/>
          <w:numId w:val="1016"/>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"user:your-diceware-passphrase"</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3"/>
    <w:bookmarkStart w:id="44"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7"/>
        </w:numPr>
      </w:pPr>
      <w:r>
        <w:t xml:space="preserve">The user treats the recovery word like a house key — not written on a sticky note, not shared in a chat</w:t>
      </w:r>
    </w:p>
    <w:p>
      <w:pPr>
        <w:pStyle w:val="Compact"/>
        <w:numPr>
          <w:ilvl w:val="0"/>
          <w:numId w:val="1017"/>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7"/>
        </w:numPr>
      </w:pPr>
      <w:r>
        <w:t xml:space="preserve">Per-account and per-address brakes, and level-2 suspension, slow online brute force down; offline, only the Argon2id cost does</w:t>
      </w:r>
    </w:p>
    <w:p>
      <w:pPr>
        <w:pStyle w:val="Compact"/>
        <w:numPr>
          <w:ilvl w:val="0"/>
          <w:numId w:val="1017"/>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4"/>
    <w:bookmarkStart w:id="45" w:name="other-limitations-by-design"/>
    <w:p>
      <w:pPr>
        <w:pStyle w:val="Heading3"/>
      </w:pPr>
      <w:r>
        <w:t xml:space="preserve">10.4 Other limitations (by design)</w:t>
      </w:r>
    </w:p>
    <w:p>
      <w:pPr>
        <w:pStyle w:val="Compact"/>
        <w:numPr>
          <w:ilvl w:val="0"/>
          <w:numId w:val="1018"/>
        </w:numPr>
      </w:pPr>
      <w:r>
        <w:t xml:space="preserve">If the user forgot their memorized word and lost their passphrase, only level 3 is left: a human arbitrator. If they refuse there is no other recourse; a new dispute stays possible until the 7-day freeze, on the 3rd refusal in 30 days</w:t>
      </w:r>
    </w:p>
    <w:p>
      <w:pPr>
        <w:pStyle w:val="FirstParagraph"/>
      </w:pPr>
      <w:r>
        <w:t xml:space="preserve">These are by design. A system with infinite fallbacks has infinite attack surface.</w:t>
      </w:r>
    </w:p>
    <w:p>
      <w:r>
        <w:pict>
          <v:rect style="width:0;height:1.5pt" o:hralign="center" o:hrstd="t" o:hr="t"/>
        </w:pict>
      </w:r>
    </w:p>
    <w:bookmarkEnd w:id="45"/>
    <w:bookmarkEnd w:id="46"/>
    <w:bookmarkStart w:id="52"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7" w:name="server-access"/>
    <w:p>
      <w:pPr>
        <w:pStyle w:val="Heading3"/>
      </w:pPr>
      <w:r>
        <w:t xml:space="preserve">11.1 Server access</w:t>
      </w:r>
    </w:p>
    <w:p>
      <w:pPr>
        <w:pStyle w:val="Compact"/>
        <w:numPr>
          <w:ilvl w:val="0"/>
          <w:numId w:val="1019"/>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19"/>
        </w:numPr>
      </w:pPr>
      <w:r>
        <w:t xml:space="preserve">☐ SSH key-based authentication only — disable password login (</w:t>
      </w:r>
      <w:r>
        <w:rPr>
          <w:rStyle w:val="VerbatimChar"/>
        </w:rPr>
        <w:t xml:space="preserve">PasswordAuthentication no</w:t>
      </w:r>
      <w:r>
        <w:t xml:space="preserve">)</w:t>
      </w:r>
    </w:p>
    <w:p>
      <w:pPr>
        <w:pStyle w:val="Compact"/>
        <w:numPr>
          <w:ilvl w:val="0"/>
          <w:numId w:val="1019"/>
        </w:numPr>
      </w:pPr>
      <w:r>
        <w:t xml:space="preserve">☐ Firewall active (UFW / iptables) — only expose ports 80, 443, and SSH</w:t>
      </w:r>
    </w:p>
    <w:bookmarkEnd w:id="47"/>
    <w:bookmarkStart w:id="48" w:name="database"/>
    <w:p>
      <w:pPr>
        <w:pStyle w:val="Heading3"/>
      </w:pPr>
      <w:r>
        <w:t xml:space="preserve">11.2 Database</w:t>
      </w:r>
    </w:p>
    <w:p>
      <w:pPr>
        <w:pStyle w:val="Compact"/>
        <w:numPr>
          <w:ilvl w:val="0"/>
          <w:numId w:val="1020"/>
        </w:numPr>
      </w:pPr>
      <w:r>
        <w:t xml:space="preserve">☐ Prepared statements (PDO / parameterized queries) for ALL SQL queries — no exceptions</w:t>
      </w:r>
    </w:p>
    <w:p>
      <w:pPr>
        <w:pStyle w:val="Compact"/>
        <w:numPr>
          <w:ilvl w:val="0"/>
          <w:numId w:val="1020"/>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0"/>
        </w:numPr>
      </w:pPr>
      <w:r>
        <w:t xml:space="preserve">☐ No phpMyAdmin or Adminer exposed to the internet</w:t>
      </w:r>
    </w:p>
    <w:p>
      <w:pPr>
        <w:pStyle w:val="Compact"/>
        <w:numPr>
          <w:ilvl w:val="0"/>
          <w:numId w:val="1020"/>
        </w:numPr>
      </w:pPr>
      <w:r>
        <w:t xml:space="preserve">☐ Backups encrypted at rest (gpg or openssl) — a plaintext dump is a liability</w:t>
      </w:r>
    </w:p>
    <w:p>
      <w:pPr>
        <w:pStyle w:val="Compact"/>
        <w:numPr>
          <w:ilvl w:val="0"/>
          <w:numId w:val="1020"/>
        </w:numPr>
      </w:pPr>
      <w:r>
        <w:t xml:space="preserve">☐ Backup storage isolated from web root — not accessible via HTTP</w:t>
      </w:r>
    </w:p>
    <w:bookmarkEnd w:id="48"/>
    <w:bookmarkStart w:id="49" w:name="application"/>
    <w:p>
      <w:pPr>
        <w:pStyle w:val="Heading3"/>
      </w:pPr>
      <w:r>
        <w:t xml:space="preserve">11.3 Application</w:t>
      </w:r>
    </w:p>
    <w:p>
      <w:pPr>
        <w:pStyle w:val="Compact"/>
        <w:numPr>
          <w:ilvl w:val="0"/>
          <w:numId w:val="1021"/>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1"/>
        </w:numPr>
      </w:pPr>
      <w:r>
        <w:t xml:space="preserve">☐ Rate limiting on all recovery endpoints (nginx</w:t>
      </w:r>
      <w:r>
        <w:t xml:space="preserve"> </w:t>
      </w:r>
      <w:r>
        <w:rPr>
          <w:rStyle w:val="VerbatimChar"/>
        </w:rPr>
        <w:t xml:space="preserve">limit_req</w:t>
      </w:r>
      <w:r>
        <w:t xml:space="preserve"> </w:t>
      </w:r>
      <w:r>
        <w:t xml:space="preserve">or application-level)</w:t>
      </w:r>
    </w:p>
    <w:p>
      <w:pPr>
        <w:pStyle w:val="Compact"/>
        <w:numPr>
          <w:ilvl w:val="0"/>
          <w:numId w:val="1021"/>
        </w:numPr>
      </w:pPr>
      <w:r>
        <w:t xml:space="preserve">☐ Security headers: CSP, X-Frame-Options, X-Content-Type-Options, Referrer-Policy</w:t>
      </w:r>
    </w:p>
    <w:p>
      <w:pPr>
        <w:pStyle w:val="Compact"/>
        <w:numPr>
          <w:ilvl w:val="0"/>
          <w:numId w:val="1021"/>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1"/>
        </w:numPr>
      </w:pPr>
      <w:r>
        <w:t xml:space="preserve">☐ Init and migration scripts blocked in production (deny all or remove)</w:t>
      </w:r>
    </w:p>
    <w:bookmarkEnd w:id="49"/>
    <w:bookmarkStart w:id="50" w:name="monitoring"/>
    <w:p>
      <w:pPr>
        <w:pStyle w:val="Heading3"/>
      </w:pPr>
      <w:r>
        <w:t xml:space="preserve">11.4 Monitoring</w:t>
      </w:r>
    </w:p>
    <w:p>
      <w:pPr>
        <w:pStyle w:val="Compact"/>
        <w:numPr>
          <w:ilvl w:val="0"/>
          <w:numId w:val="1022"/>
        </w:numPr>
      </w:pPr>
      <w:r>
        <w:t xml:space="preserve">☐ Log all recovery attempts (level, success/fail, IP — never the recovery word)</w:t>
      </w:r>
    </w:p>
    <w:p>
      <w:pPr>
        <w:pStyle w:val="Compact"/>
        <w:numPr>
          <w:ilvl w:val="0"/>
          <w:numId w:val="1022"/>
        </w:numPr>
      </w:pPr>
      <w:r>
        <w:t xml:space="preserve">☐ Alert on repeated L2/L3 failures for the same account</w:t>
      </w:r>
    </w:p>
    <w:p>
      <w:pPr>
        <w:pStyle w:val="Compact"/>
        <w:numPr>
          <w:ilvl w:val="0"/>
          <w:numId w:val="1022"/>
        </w:numPr>
      </w:pPr>
      <w:r>
        <w:t xml:space="preserve">☐ Automated backup verification (test restore periodically)</w:t>
      </w:r>
    </w:p>
    <w:bookmarkEnd w:id="50"/>
    <w:bookmarkStart w:id="51" w:name="integrating-the-library"/>
    <w:p>
      <w:pPr>
        <w:pStyle w:val="Heading3"/>
      </w:pPr>
      <w:r>
        <w:t xml:space="preserve">11.5 Integrating the library</w:t>
      </w:r>
    </w:p>
    <w:p>
      <w:pPr>
        <w:pStyle w:val="Compact"/>
        <w:numPr>
          <w:ilvl w:val="0"/>
          <w:numId w:val="1023"/>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3"/>
        </w:numPr>
      </w:pPr>
      <w:r>
        <w:t xml:space="preserve">☐ Keep the deployment salt outside the webroot, and never rotate it without reissuing every code sheet</w:t>
      </w:r>
    </w:p>
    <w:p>
      <w:pPr>
        <w:pStyle w:val="Compact"/>
        <w:numPr>
          <w:ilvl w:val="0"/>
          <w:numId w:val="1023"/>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3"/>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3"/>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3"/>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3"/>
        </w:numPr>
      </w:pPr>
      <w:r>
        <w:t xml:space="preserve">☐ Put a proof of work in front of the level-3 opening route</w:t>
      </w:r>
    </w:p>
    <w:p>
      <w:pPr>
        <w:pStyle w:val="Compact"/>
        <w:numPr>
          <w:ilvl w:val="0"/>
          <w:numId w:val="1023"/>
        </w:numPr>
      </w:pPr>
      <w:r>
        <w:t xml:space="preserve">☐ With the shipped adapter, build</w:t>
      </w:r>
      <w:r>
        <w:t xml:space="preserve"> </w:t>
      </w:r>
      <w:r>
        <w:rPr>
          <w:rStyle w:val="VerbatimChar"/>
        </w:rPr>
        <w:t xml:space="preserve">StockagePdo</w:t>
      </w:r>
      <w:r>
        <w:t xml:space="preserve"> </w:t>
      </w:r>
      <w:r>
        <w:t xml:space="preserve">with the derivation host</w:t>
      </w:r>
    </w:p>
    <w:p>
      <w:pPr>
        <w:pStyle w:val="FirstParagraph"/>
      </w:pPr>
      <w:r>
        <w:t xml:space="preserve">A deployment that skips this checklist is not a SelfRecover deployment — it is a liability.</w:t>
      </w:r>
    </w:p>
    <w:p>
      <w:r>
        <w:pict>
          <v:rect style="width:0;height:1.5pt" o:hralign="center" o:hrstd="t" o:hr="t"/>
        </w:pict>
      </w:r>
    </w:p>
    <w:bookmarkEnd w:id="51"/>
    <w:bookmarkEnd w:id="52"/>
    <w:bookmarkStart w:id="58" w:name="integration-guide"/>
    <w:p>
      <w:pPr>
        <w:pStyle w:val="Heading2"/>
      </w:pPr>
      <w:r>
        <w:t xml:space="preserve">12. Integration Guide</w:t>
      </w:r>
    </w:p>
    <w:bookmarkStart w:id="53" w:name="requirements"/>
    <w:p>
      <w:pPr>
        <w:pStyle w:val="Heading3"/>
      </w:pPr>
      <w:r>
        <w:t xml:space="preserve">12.1 Requirements</w:t>
      </w:r>
    </w:p>
    <w:p>
      <w:pPr>
        <w:pStyle w:val="Compact"/>
        <w:numPr>
          <w:ilvl w:val="0"/>
          <w:numId w:val="1024"/>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4"/>
        </w:numPr>
      </w:pPr>
      <w:r>
        <w:t xml:space="preserve">An SQL database. The shipped schema and adapter target SQLite (</w:t>
      </w:r>
      <w:r>
        <w:rPr>
          <w:rStyle w:val="VerbatimChar"/>
        </w:rPr>
        <w:t xml:space="preserve">ext-pdo_sqlite</w:t>
      </w:r>
      <w:r>
        <w:t xml:space="preserve">); elsewhere, the column types and three queries are rewritten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4"/>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4"/>
        </w:numPr>
      </w:pPr>
      <w:r>
        <w:t xml:space="preserve">HTTPS mandatory on the ordinary web (§11.3)</w:t>
      </w:r>
    </w:p>
    <w:bookmarkEnd w:id="53"/>
    <w:bookmarkStart w:id="57"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4">
        <w:r>
          <w:rPr>
            <w:rStyle w:val="VerbatimChar"/>
          </w:rPr>
          <w:t xml:space="preserve">demo/bi-self-duo/</w:t>
        </w:r>
      </w:hyperlink>
      <w:r>
        <w:t xml:space="preserve">), the lab (</w:t>
      </w:r>
      <w:hyperlink r:id="rId55">
        <w:r>
          <w:rPr>
            <w:rStyle w:val="Hyperlink"/>
          </w:rPr>
          <w:t xml:space="preserve">MySelf-Lab</w:t>
        </w:r>
      </w:hyperlink>
      <w:r>
        <w:t xml:space="preserve">), and</w:t>
      </w:r>
      <w:r>
        <w:t xml:space="preserve"> </w:t>
      </w:r>
      <w:hyperlink r:id="rId56">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7"/>
    <w:bookmarkEnd w:id="58"/>
    <w:bookmarkStart w:id="59"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59"/>
    <w:bookmarkStart w:id="60" w:name="roadmap"/>
    <w:p>
      <w:pPr>
        <w:pStyle w:val="Heading2"/>
      </w:pPr>
      <w:r>
        <w:t xml:space="preserve">14. Roadmap</w:t>
      </w:r>
    </w:p>
    <w:p>
      <w:pPr>
        <w:pStyle w:val="Compact"/>
        <w:numPr>
          <w:ilvl w:val="0"/>
          <w:numId w:val="1025"/>
        </w:numPr>
      </w:pPr>
      <w:r>
        <w:t xml:space="preserve">☒ Protocol specification (v1.2)</w:t>
      </w:r>
    </w:p>
    <w:p>
      <w:pPr>
        <w:pStyle w:val="Compact"/>
        <w:numPr>
          <w:ilvl w:val="0"/>
          <w:numId w:val="1025"/>
        </w:numPr>
      </w:pPr>
      <w:r>
        <w:t xml:space="preserve">☒ Reference implementation (this repo)</w:t>
      </w:r>
    </w:p>
    <w:p>
      <w:pPr>
        <w:pStyle w:val="Compact"/>
        <w:numPr>
          <w:ilvl w:val="0"/>
          <w:numId w:val="1025"/>
        </w:numPr>
      </w:pPr>
      <w:r>
        <w:t xml:space="preserve">☒ Whitepapers EN + FR</w:t>
      </w:r>
    </w:p>
    <w:p>
      <w:pPr>
        <w:pStyle w:val="Compact"/>
        <w:numPr>
          <w:ilvl w:val="0"/>
          <w:numId w:val="1025"/>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5"/>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5"/>
        </w:numPr>
      </w:pPr>
      <w:r>
        <w:t xml:space="preserve">☒ All three levels in the library, level 3 included (</w:t>
      </w:r>
      <w:r>
        <w:rPr>
          <w:rStyle w:val="VerbatimChar"/>
        </w:rPr>
        <w:t xml:space="preserve">Escalade</w:t>
      </w:r>
      <w:r>
        <w:t xml:space="preserve">)</w:t>
      </w:r>
    </w:p>
    <w:p>
      <w:pPr>
        <w:pStyle w:val="Compact"/>
        <w:numPr>
          <w:ilvl w:val="0"/>
          <w:numId w:val="1025"/>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5"/>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5"/>
        </w:numPr>
      </w:pPr>
      <w:r>
        <w:t xml:space="preserve">☒ Mandatory deployment profile, per-account brakes, level-2 suspension</w:t>
      </w:r>
    </w:p>
    <w:p>
      <w:pPr>
        <w:pStyle w:val="Compact"/>
        <w:numPr>
          <w:ilvl w:val="0"/>
          <w:numId w:val="1025"/>
        </w:numPr>
      </w:pPr>
      <w:r>
        <w:t xml:space="preserve">☒ Devices removed on a level-3 reset, grant expiry</w:t>
      </w:r>
    </w:p>
    <w:p>
      <w:pPr>
        <w:pStyle w:val="Compact"/>
        <w:numPr>
          <w:ilvl w:val="0"/>
          <w:numId w:val="1025"/>
        </w:numPr>
      </w:pPr>
      <w:r>
        <w:t xml:space="preserve">☒ Salt route guard (</w:t>
      </w:r>
      <w:r>
        <w:rPr>
          <w:rStyle w:val="VerbatimChar"/>
        </w:rPr>
        <w:t xml:space="preserve">Recovery::selDeDerivation</w:t>
      </w:r>
      <w:r>
        <w:t xml:space="preserve">)</w:t>
      </w:r>
    </w:p>
    <w:p>
      <w:pPr>
        <w:pStyle w:val="Compact"/>
        <w:numPr>
          <w:ilvl w:val="0"/>
          <w:numId w:val="1025"/>
        </w:numPr>
      </w:pPr>
      <w:r>
        <w:t xml:space="preserve">☐ External security audit (community welcome)</w:t>
      </w:r>
    </w:p>
    <w:p>
      <w:pPr>
        <w:pStyle w:val="Compact"/>
        <w:numPr>
          <w:ilvl w:val="0"/>
          <w:numId w:val="1025"/>
        </w:numPr>
      </w:pPr>
      <w:r>
        <w:t xml:space="preserve">☐ Published on Packagist (</w:t>
      </w:r>
      <w:r>
        <w:rPr>
          <w:rStyle w:val="VerbatimChar"/>
        </w:rPr>
        <w:t xml:space="preserve">composer require pierroons/selfrecover</w:t>
      </w:r>
      <w:r>
        <w:t xml:space="preserve">)</w:t>
      </w:r>
    </w:p>
    <w:p>
      <w:pPr>
        <w:pStyle w:val="Compact"/>
        <w:numPr>
          <w:ilvl w:val="0"/>
          <w:numId w:val="1025"/>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5"/>
        </w:numPr>
      </w:pPr>
      <w:r>
        <w:t xml:space="preserve">☐ WordPress plugin</w:t>
      </w:r>
    </w:p>
    <w:p>
      <w:pPr>
        <w:pStyle w:val="Compact"/>
        <w:numPr>
          <w:ilvl w:val="0"/>
          <w:numId w:val="1025"/>
        </w:numPr>
      </w:pPr>
      <w:r>
        <w:t xml:space="preserve">☐ Laravel package</w:t>
      </w:r>
    </w:p>
    <w:p>
      <w:pPr>
        <w:pStyle w:val="Compact"/>
        <w:numPr>
          <w:ilvl w:val="0"/>
          <w:numId w:val="1025"/>
        </w:numPr>
      </w:pPr>
      <w:r>
        <w:t xml:space="preserve">☐ Ports to Python, Go, Rust, Node</w:t>
      </w:r>
    </w:p>
    <w:p>
      <w:r>
        <w:pict>
          <v:rect style="width:0;height:1.5pt" o:hralign="center" o:hrstd="t" o:hr="t"/>
        </w:pict>
      </w:r>
    </w:p>
    <w:bookmarkEnd w:id="60"/>
    <w:bookmarkStart w:id="61"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6"/>
        </w:numPr>
      </w:pPr>
      <w:r>
        <w:t xml:space="preserve">Security audits and penetration testing welcome</w:t>
      </w:r>
    </w:p>
    <w:p>
      <w:pPr>
        <w:pStyle w:val="Compact"/>
        <w:numPr>
          <w:ilvl w:val="0"/>
          <w:numId w:val="1026"/>
        </w:numPr>
      </w:pPr>
      <w:r>
        <w:t xml:space="preserve">Implementation feedback from production deployments</w:t>
      </w:r>
    </w:p>
    <w:p>
      <w:pPr>
        <w:pStyle w:val="Compact"/>
        <w:numPr>
          <w:ilvl w:val="0"/>
          <w:numId w:val="1026"/>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your identity shouldn’t depend on an inbox.</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demo/bi-self-duo/" TargetMode="External" /><Relationship Type="http://schemas.openxmlformats.org/officeDocument/2006/relationships/hyperlink" Id="rId55" Target="../../../demo/lab/" TargetMode="External" /><Relationship Type="http://schemas.openxmlformats.org/officeDocument/2006/relationships/hyperlink" Id="rId56" Target="../tools/" TargetMode="External" /></Relationships>
</file>

<file path=word/_rels/footnotes.xml.rels><?xml version="1.0" encoding="UTF-8"?><Relationships xmlns="http://schemas.openxmlformats.org/package/2006/relationships"><Relationship Type="http://schemas.openxmlformats.org/officeDocument/2006/relationships/hyperlink" Id="rId54" Target="../../../demo/bi-self-duo/" TargetMode="External" /><Relationship Type="http://schemas.openxmlformats.org/officeDocument/2006/relationships/hyperlink" Id="rId55" Target="../../../demo/lab/" TargetMode="External" /><Relationship Type="http://schemas.openxmlformats.org/officeDocument/2006/relationships/hyperlink" Id="rId56"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2026-10-04T11:46:21Z</dcterms:created>
  <dcterms:modified xsi:type="dcterms:W3CDTF">2026-10-04T11:46:21Z</dcterms:modified>
</cp:coreProperties>
</file>

<file path=docProps/custom.xml><?xml version="1.0" encoding="utf-8"?>
<Properties xmlns="http://schemas.openxmlformats.org/officeDocument/2006/custom-properties" xmlns:vt="http://schemas.openxmlformats.org/officeDocument/2006/docPropsVTypes"/>
</file>