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lfrecover-whitepaper-v1.2"/>
    <w:p>
      <w:pPr>
        <w:pStyle w:val="Heading1"/>
      </w:pPr>
      <w:r>
        <w:t xml:space="preserve">SelfRecover — Whitepaper v1.2</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4 octobre 2026 — v1.2 — décrit SelfRecover 0.9.0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sont engendrés par le serveur et passent par lui.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La vraie question que personne ne pose :</w:t>
      </w:r>
      <w:r>
        <w:t xml:space="preserve"> </w:t>
      </w:r>
      <w:r>
        <w:t xml:space="preserve">pourquoi un site web a-t-il besoin de ton email pour prouver que tu es toi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(6 mots, ≈ 77,5 bits d’entropie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Tous les hachages serveur suivent un seul profil Argon2id : 64 Mio, 4 itérations, 2 fils (</w:t>
      </w:r>
      <w:r>
        <w:rPr>
          <w:rStyle w:val="VerbatimChar"/>
        </w:rPr>
        <w:t xml:space="preserve">Hashing::ARGON2</w:t>
      </w:r>
      <w:r>
        <w:t xml:space="preserve">).</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une passphrase et 10 codes neufs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5"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(le mot brut ne quitte jamais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et une passphrase neufs,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dont seule l’empreinte (SHA-256) est envoyée au serveur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 sont des</w:t>
      </w:r>
      <w:r>
        <w:t xml:space="preserve"> </w:t>
      </w:r>
      <w:r>
        <w:rPr>
          <w:b/>
          <w:bCs/>
        </w:rPr>
        <w:t xml:space="preserve">faits bruts</w:t>
      </w:r>
      <w:r>
        <w:t xml:space="preserve"> </w:t>
      </w:r>
      <w:r>
        <w:t xml:space="preserve">: ils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p>
      <w:r>
        <w:pict>
          <v:rect style="width:0;height:1.5pt" o:hralign="center" o:hrstd="t" o:hr="t"/>
        </w:pict>
      </w:r>
    </w:p>
    <w:bookmarkEnd w:id="34"/>
    <w:bookmarkEnd w:id="35"/>
    <w:bookmarkStart w:id="38"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8"/>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L’admin retrouve les litiges ouverts dans son tableau de bord</w:t>
      </w:r>
    </w:p>
    <w:p>
      <w:pPr>
        <w:pStyle w:val="Compact"/>
        <w:numPr>
          <w:ilvl w:val="0"/>
          <w:numId w:val="1008"/>
        </w:numPr>
      </w:pPr>
      <w:r>
        <w:t xml:space="preserve">Un chat bidirectionnel est disponible entre l’admin et l’utilisateur, dont l’accès est conditionné par le code de suivi (polling, pas de WebSocket temps réel pour rester simple)</w:t>
      </w:r>
    </w:p>
    <w:p>
      <w:pPr>
        <w:pStyle w:val="Compact"/>
        <w:numPr>
          <w:ilvl w:val="0"/>
          <w:numId w:val="1008"/>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6"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09"/>
        </w:numPr>
      </w:pPr>
      <w:r>
        <w:t xml:space="preserve">L’admin vérifie l’identité via l’échange chat</w:t>
      </w:r>
    </w:p>
    <w:p>
      <w:pPr>
        <w:pStyle w:val="Compact"/>
        <w:numPr>
          <w:ilvl w:val="0"/>
          <w:numId w:val="1009"/>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09"/>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une passphrase et 10 codes neufs,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0"/>
        </w:numPr>
      </w:pPr>
      <w:r>
        <w:t xml:space="preserve">L’admin ne considère pas la preuve d’identité suffisante</w:t>
      </w:r>
    </w:p>
    <w:p>
      <w:pPr>
        <w:pStyle w:val="Compact"/>
        <w:numPr>
          <w:ilvl w:val="0"/>
          <w:numId w:val="1010"/>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0"/>
        </w:numPr>
      </w:pPr>
      <w:r>
        <w:rPr>
          <w:b/>
          <w:bCs/>
        </w:rPr>
        <w:t xml:space="preserve">Le compte n’est pas touché</w:t>
      </w:r>
      <w:r>
        <w:t xml:space="preserve"> </w:t>
      </w:r>
      <w:r>
        <w:t xml:space="preserve">: ni supprimé, ni banni, ni vidé de ses codes. Il reste connectable</w:t>
      </w:r>
    </w:p>
    <w:p>
      <w:pPr>
        <w:pStyle w:val="Compact"/>
        <w:numPr>
          <w:ilvl w:val="0"/>
          <w:numId w:val="1010"/>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6"/>
    <w:bookmarkStart w:id="37"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7"/>
    <w:bookmarkEnd w:id="38"/>
    <w:bookmarkStart w:id="39"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1"/>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1"/>
        </w:numPr>
      </w:pPr>
      <w:r>
        <w:rPr>
          <w:b/>
          <w:bCs/>
        </w:rPr>
        <w:t xml:space="preserve">Délai forcé</w:t>
      </w:r>
      <w:r>
        <w:t xml:space="preserve"> </w:t>
      </w:r>
      <w:r>
        <w:t xml:space="preserve">sur chaque refus qui tait un état</w:t>
      </w:r>
    </w:p>
    <w:p>
      <w:pPr>
        <w:pStyle w:val="Compact"/>
        <w:numPr>
          <w:ilvl w:val="0"/>
          <w:numId w:val="1011"/>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39"/>
    <w:bookmarkStart w:id="40"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un</w:t>
      </w:r>
      <w:r>
        <w:t xml:space="preserve"> </w:t>
      </w:r>
      <w:r>
        <w:rPr>
          <w:rStyle w:val="VerbatimChar"/>
        </w:rPr>
        <w:t xml:space="preserve">message</w:t>
      </w:r>
      <w:r>
        <w:t xml:space="preserve"> </w:t>
      </w:r>
      <w:r>
        <w:t xml:space="preserve">destiné à la personne, et pour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qui n’y met jamais le mot de récupération (brut ou dérivé), la passphrase, le mot de passe ni les codes.</w:t>
      </w:r>
    </w:p>
    <w:p>
      <w:r>
        <w:pict>
          <v:rect style="width:0;height:1.5pt" o:hralign="center" o:hrstd="t" o:hr="t"/>
        </w:pict>
      </w:r>
    </w:p>
    <w:bookmarkEnd w:id="40"/>
    <w:bookmarkStart w:id="41"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2"/>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2"/>
        </w:numPr>
      </w:pPr>
      <w:r>
        <w:rPr>
          <w:b/>
          <w:bCs/>
        </w:rPr>
        <w:t xml:space="preserve">Non</w:t>
      </w:r>
      <w:r>
        <w:t xml:space="preserve"> </w:t>
      </w:r>
      <w:r>
        <w:t xml:space="preserve">→ protection renforcée activée en arrière-plan :</w:t>
      </w:r>
    </w:p>
    <w:p>
      <w:pPr>
        <w:pStyle w:val="Compact"/>
        <w:numPr>
          <w:ilvl w:val="1"/>
          <w:numId w:val="1013"/>
        </w:numPr>
      </w:pPr>
      <w:r>
        <w:t xml:space="preserve">Nouveau mot de passe généré et affiché à l’utilisateur</w:t>
      </w:r>
    </w:p>
    <w:p>
      <w:pPr>
        <w:pStyle w:val="Compact"/>
        <w:numPr>
          <w:ilvl w:val="1"/>
          <w:numId w:val="1013"/>
        </w:numPr>
      </w:pPr>
      <w:r>
        <w:t xml:space="preserve">Sessions révoquées : qui tenait le compte est éjecté</w:t>
      </w:r>
    </w:p>
    <w:p>
      <w:pPr>
        <w:pStyle w:val="Compact"/>
        <w:numPr>
          <w:ilvl w:val="1"/>
          <w:numId w:val="1013"/>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1"/>
    <w:bookmarkStart w:id="46" w:name="modèle-de-menaces-et-limites"/>
    <w:p>
      <w:pPr>
        <w:pStyle w:val="Heading2"/>
      </w:pPr>
      <w:r>
        <w:t xml:space="preserve">10. Modèle de menaces et limites</w:t>
      </w:r>
    </w:p>
    <w:bookmarkStart w:id="42" w:name="menaces-traitées"/>
    <w:p>
      <w:pPr>
        <w:pStyle w:val="Heading3"/>
      </w:pPr>
      <w:r>
        <w:t xml:space="preserve">10.1 Menaces traitées</w:t>
      </w:r>
    </w:p>
    <w:p>
      <w:pPr>
        <w:pStyle w:val="Compact"/>
        <w:numPr>
          <w:ilvl w:val="0"/>
          <w:numId w:val="1014"/>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4"/>
        </w:numPr>
      </w:pPr>
      <w:r>
        <w:rPr>
          <w:b/>
          <w:bCs/>
        </w:rPr>
        <w:t xml:space="preserve">Piratage de l’email</w:t>
      </w:r>
      <w:r>
        <w:t xml:space="preserve"> </w:t>
      </w:r>
      <w:r>
        <w:t xml:space="preserve">— il n’y a aucun email dans le protocole</w:t>
      </w:r>
    </w:p>
    <w:p>
      <w:pPr>
        <w:pStyle w:val="Compact"/>
        <w:numPr>
          <w:ilvl w:val="0"/>
          <w:numId w:val="1014"/>
        </w:numPr>
      </w:pPr>
      <w:r>
        <w:rPr>
          <w:b/>
          <w:bCs/>
        </w:rPr>
        <w:t xml:space="preserve">Panne du fournisseur SMTP</w:t>
      </w:r>
      <w:r>
        <w:t xml:space="preserve"> </w:t>
      </w:r>
      <w:r>
        <w:t xml:space="preserve">— pas de dépendance SMTP</w:t>
      </w:r>
    </w:p>
    <w:p>
      <w:pPr>
        <w:pStyle w:val="Compact"/>
        <w:numPr>
          <w:ilvl w:val="0"/>
          <w:numId w:val="1014"/>
        </w:numPr>
      </w:pPr>
      <w:r>
        <w:rPr>
          <w:b/>
          <w:bCs/>
        </w:rPr>
        <w:t xml:space="preserve">Confiance tiers</w:t>
      </w:r>
      <w:r>
        <w:t xml:space="preserve"> </w:t>
      </w:r>
      <w:r>
        <w:t xml:space="preserve">— seuls le site et l’utilisateur sont impliqués</w:t>
      </w:r>
    </w:p>
    <w:p>
      <w:pPr>
        <w:pStyle w:val="Compact"/>
        <w:numPr>
          <w:ilvl w:val="0"/>
          <w:numId w:val="1014"/>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4"/>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4"/>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2"/>
    <w:bookmarkStart w:id="43"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5"/>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 vérifie toujours ton</w:t>
      </w:r>
      <w:r>
        <w:t xml:space="preserve"> </w:t>
      </w:r>
      <w:r>
        <w:rPr>
          <w:rStyle w:val="VerbatimChar"/>
        </w:rPr>
        <w:t xml:space="preserve">/etc/sudoers.d/</w:t>
      </w:r>
      <w:r>
        <w:t xml:space="preserve"> </w:t>
      </w:r>
      <w:r>
        <w:t xml:space="preserve">à l’installation.</w:t>
      </w:r>
    </w:p>
    <w:p>
      <w:pPr>
        <w:pStyle w:val="Compact"/>
        <w:numPr>
          <w:ilvl w:val="0"/>
          <w:numId w:val="1015"/>
        </w:numPr>
      </w:pPr>
      <w:r>
        <w:t xml:space="preserve">Si un attaquant compromet le compte utilisateur (fuite de clé SSH, vulnérabilité web, etc.), il passe root sans aucune friction</w:t>
      </w:r>
    </w:p>
    <w:p>
      <w:pPr>
        <w:pStyle w:val="Compact"/>
        <w:numPr>
          <w:ilvl w:val="0"/>
          <w:numId w:val="1015"/>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6"/>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6"/>
        </w:numPr>
      </w:pPr>
      <w:r>
        <w:t xml:space="preserve">Définir une passphrase diceware forte (minimum 6 mots, 8 recommandés) comme mot de passe de l’utilisateur sudo</w:t>
      </w:r>
    </w:p>
    <w:p>
      <w:pPr>
        <w:pStyle w:val="Compact"/>
        <w:numPr>
          <w:ilvl w:val="0"/>
          <w:numId w:val="1016"/>
        </w:numPr>
      </w:pPr>
      <w:r>
        <w:rPr>
          <w:rStyle w:val="VerbatimChar"/>
        </w:rPr>
        <w:t xml:space="preserve">sudo</w:t>
      </w:r>
      <w:r>
        <w:t xml:space="preserve"> </w:t>
      </w:r>
      <w:r>
        <w:t xml:space="preserve">doit exiger cette passphrase pour chaque escalade de privilèges</w:t>
      </w:r>
    </w:p>
    <w:p>
      <w:pPr>
        <w:pStyle w:val="Compact"/>
        <w:numPr>
          <w:ilvl w:val="0"/>
          <w:numId w:val="1016"/>
        </w:numPr>
      </w:pPr>
      <w:r>
        <w:t xml:space="preserve">La passphrase doit être conservée hors ligne uniquement (papier, pas numérique)</w:t>
      </w:r>
    </w:p>
    <w:p>
      <w:pPr>
        <w:pStyle w:val="Compact"/>
        <w:numPr>
          <w:ilvl w:val="0"/>
          <w:numId w:val="1016"/>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"user:ta-passphrase-diceware"</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3"/>
    <w:bookmarkStart w:id="44"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7"/>
        </w:numPr>
      </w:pPr>
      <w:r>
        <w:t xml:space="preserve">L’utilisateur traite son mot de récupération comme une clé de maison — pas sur un post-it, pas partagée dans un chat</w:t>
      </w:r>
    </w:p>
    <w:p>
      <w:pPr>
        <w:pStyle w:val="Compact"/>
        <w:numPr>
          <w:ilvl w:val="0"/>
          <w:numId w:val="1017"/>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7"/>
        </w:numPr>
      </w:pPr>
      <w:r>
        <w:t xml:space="preserve">Les freins par compte et par adresse, et la suspension du niveau 2, ralentissent la force brute en ligne ; hors ligne, seul le coût d’Argon2id la freine</w:t>
      </w:r>
    </w:p>
    <w:p>
      <w:pPr>
        <w:pStyle w:val="Compact"/>
        <w:numPr>
          <w:ilvl w:val="0"/>
          <w:numId w:val="1017"/>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4"/>
    <w:bookmarkStart w:id="45" w:name="autres-limites-par-conception"/>
    <w:p>
      <w:pPr>
        <w:pStyle w:val="Heading3"/>
      </w:pPr>
      <w:r>
        <w:t xml:space="preserve">10.4 Autres limites (par conception)</w:t>
      </w:r>
    </w:p>
    <w:p>
      <w:pPr>
        <w:pStyle w:val="Compact"/>
        <w:numPr>
          <w:ilvl w:val="0"/>
          <w:numId w:val="1018"/>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FirstParagraph"/>
      </w:pPr>
      <w:r>
        <w:t xml:space="preserve">Ces limites sont voulues. Un système avec des recours infinis a une surface d’attaque infinie.</w:t>
      </w:r>
    </w:p>
    <w:p>
      <w:r>
        <w:pict>
          <v:rect style="width:0;height:1.5pt" o:hralign="center" o:hrstd="t" o:hr="t"/>
        </w:pict>
      </w:r>
    </w:p>
    <w:bookmarkEnd w:id="45"/>
    <w:bookmarkEnd w:id="46"/>
    <w:bookmarkStart w:id="52"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7" w:name="accès-serveur"/>
    <w:p>
      <w:pPr>
        <w:pStyle w:val="Heading3"/>
      </w:pPr>
      <w:r>
        <w:t xml:space="preserve">11.1 Accès serveur</w:t>
      </w:r>
    </w:p>
    <w:p>
      <w:pPr>
        <w:pStyle w:val="Compact"/>
        <w:numPr>
          <w:ilvl w:val="0"/>
          <w:numId w:val="1019"/>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19"/>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19"/>
        </w:numPr>
      </w:pPr>
      <w:r>
        <w:t xml:space="preserve">☐ Firewall actif (UFW / iptables) — exposer uniquement les ports 80, 443 et SSH</w:t>
      </w:r>
    </w:p>
    <w:bookmarkEnd w:id="47"/>
    <w:bookmarkStart w:id="48" w:name="base-de-données"/>
    <w:p>
      <w:pPr>
        <w:pStyle w:val="Heading3"/>
      </w:pPr>
      <w:r>
        <w:t xml:space="preserve">11.2 Base de données</w:t>
      </w:r>
    </w:p>
    <w:p>
      <w:pPr>
        <w:pStyle w:val="Compact"/>
        <w:numPr>
          <w:ilvl w:val="0"/>
          <w:numId w:val="1020"/>
        </w:numPr>
      </w:pPr>
      <w:r>
        <w:t xml:space="preserve">☐ Prepared statements (PDO / requêtes paramétrées) pour TOUTES les requêtes SQL — sans exception</w:t>
      </w:r>
    </w:p>
    <w:p>
      <w:pPr>
        <w:pStyle w:val="Compact"/>
        <w:numPr>
          <w:ilvl w:val="0"/>
          <w:numId w:val="1020"/>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0"/>
        </w:numPr>
      </w:pPr>
      <w:r>
        <w:t xml:space="preserve">☐ Pas de phpMyAdmin ou Adminer exposé sur internet</w:t>
      </w:r>
    </w:p>
    <w:p>
      <w:pPr>
        <w:pStyle w:val="Compact"/>
        <w:numPr>
          <w:ilvl w:val="0"/>
          <w:numId w:val="1020"/>
        </w:numPr>
      </w:pPr>
      <w:r>
        <w:t xml:space="preserve">☐ Backups chiffrés au repos (gpg ou openssl) — un dump en clair est une faille</w:t>
      </w:r>
    </w:p>
    <w:p>
      <w:pPr>
        <w:pStyle w:val="Compact"/>
        <w:numPr>
          <w:ilvl w:val="0"/>
          <w:numId w:val="1020"/>
        </w:numPr>
      </w:pPr>
      <w:r>
        <w:t xml:space="preserve">☐ Stockage des backups isolé du web root — pas accessible via HTTP</w:t>
      </w:r>
    </w:p>
    <w:bookmarkEnd w:id="48"/>
    <w:bookmarkStart w:id="49" w:name="application"/>
    <w:p>
      <w:pPr>
        <w:pStyle w:val="Heading3"/>
      </w:pPr>
      <w:r>
        <w:t xml:space="preserve">11.3 Application</w:t>
      </w:r>
    </w:p>
    <w:p>
      <w:pPr>
        <w:pStyle w:val="Compact"/>
        <w:numPr>
          <w:ilvl w:val="0"/>
          <w:numId w:val="1021"/>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1"/>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1"/>
        </w:numPr>
      </w:pPr>
      <w:r>
        <w:t xml:space="preserve">☐ Headers de sécurité : CSP, X-Frame-Options, X-Content-Type-Options, Referrer-Policy</w:t>
      </w:r>
    </w:p>
    <w:p>
      <w:pPr>
        <w:pStyle w:val="Compact"/>
        <w:numPr>
          <w:ilvl w:val="0"/>
          <w:numId w:val="1021"/>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1"/>
        </w:numPr>
      </w:pPr>
      <w:r>
        <w:t xml:space="preserve">☐ Scripts init et migration bloqués en production (deny all ou supprimer)</w:t>
      </w:r>
    </w:p>
    <w:bookmarkEnd w:id="49"/>
    <w:bookmarkStart w:id="50" w:name="monitoring"/>
    <w:p>
      <w:pPr>
        <w:pStyle w:val="Heading3"/>
      </w:pPr>
      <w:r>
        <w:t xml:space="preserve">11.4 Monitoring</w:t>
      </w:r>
    </w:p>
    <w:p>
      <w:pPr>
        <w:pStyle w:val="Compact"/>
        <w:numPr>
          <w:ilvl w:val="0"/>
          <w:numId w:val="1022"/>
        </w:numPr>
      </w:pPr>
      <w:r>
        <w:t xml:space="preserve">☐ Logger toutes les tentatives de recovery (niveau, succès/échec, IP — jamais le mot de récupération)</w:t>
      </w:r>
    </w:p>
    <w:p>
      <w:pPr>
        <w:pStyle w:val="Compact"/>
        <w:numPr>
          <w:ilvl w:val="0"/>
          <w:numId w:val="1022"/>
        </w:numPr>
      </w:pPr>
      <w:r>
        <w:t xml:space="preserve">☐ Alerter sur les échecs répétés L2/L3 pour un même compte</w:t>
      </w:r>
    </w:p>
    <w:p>
      <w:pPr>
        <w:pStyle w:val="Compact"/>
        <w:numPr>
          <w:ilvl w:val="0"/>
          <w:numId w:val="1022"/>
        </w:numPr>
      </w:pPr>
      <w:r>
        <w:t xml:space="preserve">☐ Vérification automatisée des backups (test de restauration périodique)</w:t>
      </w:r>
    </w:p>
    <w:bookmarkEnd w:id="50"/>
    <w:bookmarkStart w:id="51" w:name="intégration-de-la-bibliothèque"/>
    <w:p>
      <w:pPr>
        <w:pStyle w:val="Heading3"/>
      </w:pPr>
      <w:r>
        <w:t xml:space="preserve">11.5 Intégration de la bibliothèque</w:t>
      </w:r>
    </w:p>
    <w:p>
      <w:pPr>
        <w:pStyle w:val="Compact"/>
        <w:numPr>
          <w:ilvl w:val="0"/>
          <w:numId w:val="1023"/>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3"/>
        </w:numPr>
      </w:pPr>
      <w:r>
        <w:t xml:space="preserve">☐ Garder le sel du déploiement hors racine web, et ne jamais le tourner sans réémettre toutes les feuilles de codes</w:t>
      </w:r>
    </w:p>
    <w:p>
      <w:pPr>
        <w:pStyle w:val="Compact"/>
        <w:numPr>
          <w:ilvl w:val="0"/>
          <w:numId w:val="1023"/>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3"/>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3"/>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3"/>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3"/>
        </w:numPr>
      </w:pPr>
      <w:r>
        <w:t xml:space="preserve">☐ Poser une preuve de travail devant la route d’ouverture du niveau 3</w:t>
      </w:r>
    </w:p>
    <w:p>
      <w:pPr>
        <w:pStyle w:val="Compact"/>
        <w:numPr>
          <w:ilvl w:val="0"/>
          <w:numId w:val="1023"/>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FirstParagraph"/>
      </w:pPr>
      <w:r>
        <w:t xml:space="preserve">Un déploiement qui ignore cette checklist n’est pas un déploiement SelfRecover — c’est une passoire.</w:t>
      </w:r>
    </w:p>
    <w:p>
      <w:r>
        <w:pict>
          <v:rect style="width:0;height:1.5pt" o:hralign="center" o:hrstd="t" o:hr="t"/>
        </w:pict>
      </w:r>
    </w:p>
    <w:bookmarkEnd w:id="51"/>
    <w:bookmarkEnd w:id="52"/>
    <w:bookmarkStart w:id="58" w:name="guide-dintégration"/>
    <w:p>
      <w:pPr>
        <w:pStyle w:val="Heading2"/>
      </w:pPr>
      <w:r>
        <w:t xml:space="preserve">12. Guide d’intégration</w:t>
      </w:r>
    </w:p>
    <w:bookmarkStart w:id="53" w:name="pré-requis"/>
    <w:p>
      <w:pPr>
        <w:pStyle w:val="Heading3"/>
      </w:pPr>
      <w:r>
        <w:t xml:space="preserve">12.1 Pré-requis</w:t>
      </w:r>
    </w:p>
    <w:p>
      <w:pPr>
        <w:pStyle w:val="Compact"/>
        <w:numPr>
          <w:ilvl w:val="0"/>
          <w:numId w:val="1024"/>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4"/>
        </w:numPr>
      </w:pPr>
      <w:r>
        <w:t xml:space="preserve">Une base SQL. Le schéma et l’adaptateur fournis ciblent SQLite (</w:t>
      </w:r>
      <w:r>
        <w:rPr>
          <w:rStyle w:val="VerbatimChar"/>
        </w:rPr>
        <w:t xml:space="preserve">ext-pdo_sqlite</w:t>
      </w:r>
      <w:r>
        <w:t xml:space="preserve">) ; ailleurs, les types de colonnes et trois requêtes se réécrivent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4"/>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4"/>
        </w:numPr>
      </w:pPr>
      <w:r>
        <w:t xml:space="preserve">HTTPS obligatoire sur le web ordinaire (§11.3)</w:t>
      </w:r>
    </w:p>
    <w:bookmarkEnd w:id="53"/>
    <w:bookmarkStart w:id="57"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4">
        <w:r>
          <w:rPr>
            <w:rStyle w:val="VerbatimChar"/>
          </w:rPr>
          <w:t xml:space="preserve">demo/bi-self-duo/</w:t>
        </w:r>
      </w:hyperlink>
      <w:r>
        <w:t xml:space="preserve">), le laboratoire (</w:t>
      </w:r>
      <w:hyperlink r:id="rId55">
        <w:r>
          <w:rPr>
            <w:rStyle w:val="Hyperlink"/>
          </w:rPr>
          <w:t xml:space="preserve">MySelf-Lab</w:t>
        </w:r>
      </w:hyperlink>
      <w:r>
        <w:t xml:space="preserve">), et</w:t>
      </w:r>
      <w:r>
        <w:t xml:space="preserve"> </w:t>
      </w:r>
      <w:hyperlink r:id="rId56">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7"/>
    <w:bookmarkEnd w:id="58"/>
    <w:bookmarkStart w:id="59"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59"/>
    <w:bookmarkStart w:id="60" w:name="feuille-de-route"/>
    <w:p>
      <w:pPr>
        <w:pStyle w:val="Heading2"/>
      </w:pPr>
      <w:r>
        <w:t xml:space="preserve">14. Feuille de route</w:t>
      </w:r>
    </w:p>
    <w:p>
      <w:pPr>
        <w:pStyle w:val="Compact"/>
        <w:numPr>
          <w:ilvl w:val="0"/>
          <w:numId w:val="1025"/>
        </w:numPr>
      </w:pPr>
      <w:r>
        <w:t xml:space="preserve">☒ Spécification du protocole (v1.2)</w:t>
      </w:r>
    </w:p>
    <w:p>
      <w:pPr>
        <w:pStyle w:val="Compact"/>
        <w:numPr>
          <w:ilvl w:val="0"/>
          <w:numId w:val="1025"/>
        </w:numPr>
      </w:pPr>
      <w:r>
        <w:t xml:space="preserve">☒ Implémentation de référence (ce dépôt)</w:t>
      </w:r>
    </w:p>
    <w:p>
      <w:pPr>
        <w:pStyle w:val="Compact"/>
        <w:numPr>
          <w:ilvl w:val="0"/>
          <w:numId w:val="1025"/>
        </w:numPr>
      </w:pPr>
      <w:r>
        <w:t xml:space="preserve">☒ Livres blancs EN + FR</w:t>
      </w:r>
    </w:p>
    <w:p>
      <w:pPr>
        <w:pStyle w:val="Compact"/>
        <w:numPr>
          <w:ilvl w:val="0"/>
          <w:numId w:val="1025"/>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5"/>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5"/>
        </w:numPr>
      </w:pPr>
      <w:r>
        <w:t xml:space="preserve">☒ Les trois niveaux dans la bibliothèque, niveau 3 compris (</w:t>
      </w:r>
      <w:r>
        <w:rPr>
          <w:rStyle w:val="VerbatimChar"/>
        </w:rPr>
        <w:t xml:space="preserve">Escalade</w:t>
      </w:r>
      <w:r>
        <w:t xml:space="preserve">)</w:t>
      </w:r>
    </w:p>
    <w:p>
      <w:pPr>
        <w:pStyle w:val="Compact"/>
        <w:numPr>
          <w:ilvl w:val="0"/>
          <w:numId w:val="1025"/>
        </w:numPr>
      </w:pPr>
      <w:r>
        <w:t xml:space="preserve">☒ Facteur « cet appareil », et son chiffrement local en Argon2id (</w:t>
      </w:r>
      <w:r>
        <w:rPr>
          <w:rStyle w:val="VerbatimChar"/>
        </w:rPr>
        <w:t xml:space="preserve">client/sr-kdf.js</w:t>
      </w:r>
      <w:r>
        <w:t xml:space="preserve">)</w:t>
      </w:r>
    </w:p>
    <w:p>
      <w:pPr>
        <w:pStyle w:val="Compact"/>
        <w:numPr>
          <w:ilvl w:val="0"/>
          <w:numId w:val="1025"/>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5"/>
        </w:numPr>
      </w:pPr>
      <w:r>
        <w:t xml:space="preserve">☒ Profil de déploiement obligatoire, freins par compte, suspension du niveau 2</w:t>
      </w:r>
    </w:p>
    <w:p>
      <w:pPr>
        <w:pStyle w:val="Compact"/>
        <w:numPr>
          <w:ilvl w:val="0"/>
          <w:numId w:val="1025"/>
        </w:numPr>
      </w:pPr>
      <w:r>
        <w:t xml:space="preserve">☒ Retrait des appareils à la reprise du niveau 3, échéance de l’accord</w:t>
      </w:r>
    </w:p>
    <w:p>
      <w:pPr>
        <w:pStyle w:val="Compact"/>
        <w:numPr>
          <w:ilvl w:val="0"/>
          <w:numId w:val="1025"/>
        </w:numPr>
      </w:pPr>
      <w:r>
        <w:t xml:space="preserve">☒ Garde de la route du sel (</w:t>
      </w:r>
      <w:r>
        <w:rPr>
          <w:rStyle w:val="VerbatimChar"/>
        </w:rPr>
        <w:t xml:space="preserve">Recovery::selDeDerivation</w:t>
      </w:r>
      <w:r>
        <w:t xml:space="preserve">)</w:t>
      </w:r>
    </w:p>
    <w:p>
      <w:pPr>
        <w:pStyle w:val="Compact"/>
        <w:numPr>
          <w:ilvl w:val="0"/>
          <w:numId w:val="1025"/>
        </w:numPr>
      </w:pPr>
      <w:r>
        <w:t xml:space="preserve">☐ Audit de sécurité externe (communauté bienvenue)</w:t>
      </w:r>
    </w:p>
    <w:p>
      <w:pPr>
        <w:pStyle w:val="Compact"/>
        <w:numPr>
          <w:ilvl w:val="0"/>
          <w:numId w:val="1025"/>
        </w:numPr>
      </w:pPr>
      <w:r>
        <w:t xml:space="preserve">☐ Publication sur Packagist (</w:t>
      </w:r>
      <w:r>
        <w:rPr>
          <w:rStyle w:val="VerbatimChar"/>
        </w:rPr>
        <w:t xml:space="preserve">composer require pierroons/selfrecover</w:t>
      </w:r>
      <w:r>
        <w:t xml:space="preserve">)</w:t>
      </w:r>
    </w:p>
    <w:p>
      <w:pPr>
        <w:pStyle w:val="Compact"/>
        <w:numPr>
          <w:ilvl w:val="0"/>
          <w:numId w:val="1025"/>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5"/>
        </w:numPr>
      </w:pPr>
      <w:r>
        <w:t xml:space="preserve">☐ Plugin WordPress</w:t>
      </w:r>
    </w:p>
    <w:p>
      <w:pPr>
        <w:pStyle w:val="Compact"/>
        <w:numPr>
          <w:ilvl w:val="0"/>
          <w:numId w:val="1025"/>
        </w:numPr>
      </w:pPr>
      <w:r>
        <w:t xml:space="preserve">☐ Package Laravel</w:t>
      </w:r>
    </w:p>
    <w:p>
      <w:pPr>
        <w:pStyle w:val="Compact"/>
        <w:numPr>
          <w:ilvl w:val="0"/>
          <w:numId w:val="1025"/>
        </w:numPr>
      </w:pPr>
      <w:r>
        <w:t xml:space="preserve">☐ Portages vers Python, Go, Rust, Node</w:t>
      </w:r>
    </w:p>
    <w:p>
      <w:r>
        <w:pict>
          <v:rect style="width:0;height:1.5pt" o:hralign="center" o:hrstd="t" o:hr="t"/>
        </w:pict>
      </w:r>
    </w:p>
    <w:bookmarkEnd w:id="60"/>
    <w:bookmarkStart w:id="61"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6"/>
        </w:numPr>
      </w:pPr>
      <w:r>
        <w:t xml:space="preserve">Audits de sécurité et tests d’intrusion bienvenus</w:t>
      </w:r>
    </w:p>
    <w:p>
      <w:pPr>
        <w:pStyle w:val="Compact"/>
        <w:numPr>
          <w:ilvl w:val="0"/>
          <w:numId w:val="1026"/>
        </w:numPr>
      </w:pPr>
      <w:r>
        <w:t xml:space="preserve">Retours d’expérience de déploiements en production</w:t>
      </w:r>
    </w:p>
    <w:p>
      <w:pPr>
        <w:pStyle w:val="Compact"/>
        <w:numPr>
          <w:ilvl w:val="0"/>
          <w:numId w:val="1026"/>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que ton identité ne devrait pas dépendre d’une boîte mail.</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_rels/footnotes.xml.rels><?xml version="1.0" encoding="UTF-8"?><Relationships xmlns="http://schemas.openxmlformats.org/package/2006/relationships"><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2026-10-04T11:46:20Z</dcterms:created>
  <dcterms:modified xsi:type="dcterms:W3CDTF">2026-10-04T11:46:20Z</dcterms:modified>
</cp:coreProperties>
</file>

<file path=docProps/custom.xml><?xml version="1.0" encoding="utf-8"?>
<Properties xmlns="http://schemas.openxmlformats.org/officeDocument/2006/custom-properties" xmlns:vt="http://schemas.openxmlformats.org/officeDocument/2006/docPropsVTypes"/>
</file>