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elfrecover-luks-whitepaper"/>
    <w:p>
      <w:pPr>
        <w:pStyle w:val="Heading1"/>
      </w:pPr>
      <w:r>
        <w:t xml:space="preserve">SelfRecover-LUKS — Whitepaper</w:t>
      </w:r>
    </w:p>
    <w:p>
      <w:pPr>
        <w:pStyle w:val="BlockText"/>
      </w:pPr>
      <w:r>
        <w:rPr>
          <w:b/>
          <w:bCs/>
        </w:rPr>
        <w:t xml:space="preserve">Déverrouillage de disques chiffrés par passphrase de récupération unifiée</w:t>
      </w:r>
      <w:r>
        <w:t xml:space="preserve"> </w:t>
      </w:r>
      <w:r>
        <w:rPr>
          <w:i/>
          <w:iCs/>
        </w:rPr>
        <w:t xml:space="preserve">Un déverrouillage qui ne dépend d’aucun tiers — pas de cloud, pas de serveur de clés réseau.</w:t>
      </w:r>
      <w:r>
        <w:t xml:space="preserve"> </w:t>
      </w:r>
      <w:r>
        <w:rPr>
          <w:i/>
          <w:iCs/>
        </w:rPr>
        <w:t xml:space="preserve">Architecture, sécurité et déploiement</w:t>
      </w:r>
    </w:p>
    <w:p>
      <w:pPr>
        <w:pStyle w:val="FirstParagraph"/>
      </w:pPr>
      <w:r>
        <w:t xml:space="preserve">Écosystème MySelf — pilier Self-Security · Version 0.6.2 · 4 octobre 2026 · AGPL-3.0-or-later</w:t>
      </w:r>
      <w:r>
        <w:t xml:space="preserve"> </w:t>
      </w:r>
      <w:r>
        <w:t xml:space="preserve">📥 Aussi disponible en DOCX (impression / diffusion) :</w:t>
      </w:r>
      <w:r>
        <w:t xml:space="preserve"> </w:t>
      </w:r>
      <w:hyperlink r:id="rId20">
        <w:r>
          <w:rPr>
            <w:rStyle w:val="Hyperlink"/>
          </w:rPr>
          <w:t xml:space="preserve">SelfRecover-LUKS_Whitepaper.docx</w:t>
        </w:r>
      </w:hyperlink>
    </w:p>
    <w:p>
      <w:r>
        <w:pict>
          <v:rect style="width:0;height:1.5pt" o:hralign="center" o:hrstd="t" o:hr="t"/>
        </w:pict>
      </w:r>
    </w:p>
    <w:bookmarkStart w:id="21" w:name="résumé"/>
    <w:p>
      <w:pPr>
        <w:pStyle w:val="Heading2"/>
      </w:pPr>
      <w:r>
        <w:t xml:space="preserve">Résumé</w:t>
      </w:r>
    </w:p>
    <w:p>
      <w:pPr>
        <w:pStyle w:val="FirstParagraph"/>
      </w:pPr>
      <w:r>
        <w:t xml:space="preserve">SelfRecover-LUKS permet de déverrouiller l’intégralité des volumes chiffrés (LUKS2) d’un serveur à partir d’une unique passphrase de récupération, à distance et dès le démarrage, sans dépendre d’un service tiers, d’un cloud, ni d’une connexion obligatoire vers un fournisseur.</w:t>
      </w:r>
    </w:p>
    <w:bookmarkEnd w:id="21"/>
    <w:bookmarkStart w:id="22" w:name="contexte-et-problème"/>
    <w:p>
      <w:pPr>
        <w:pStyle w:val="Heading2"/>
      </w:pPr>
      <w:r>
        <w:t xml:space="preserve">1. Contexte et problème</w:t>
      </w:r>
    </w:p>
    <w:p>
      <w:pPr>
        <w:pStyle w:val="FirstParagraph"/>
      </w:pPr>
      <w:r>
        <w:t xml:space="preserve">Le chiffrement intégral du disque (FDE) protège les données au repos. Il pose toutefois trois difficultés opérationnelles récurrentes :</w:t>
      </w:r>
    </w:p>
    <w:p>
      <w:pPr>
        <w:pStyle w:val="Compact"/>
        <w:numPr>
          <w:ilvl w:val="0"/>
          <w:numId w:val="1001"/>
        </w:numPr>
      </w:pPr>
      <w:r>
        <w:rPr>
          <w:b/>
          <w:bCs/>
        </w:rPr>
        <w:t xml:space="preserve">Accès distant —</w:t>
      </w:r>
      <w:r>
        <w:t xml:space="preserve"> </w:t>
      </w:r>
      <w:r>
        <w:t xml:space="preserve">déverrouiller un serveur à distance (machine hébergée) ;</w:t>
      </w:r>
    </w:p>
    <w:p>
      <w:pPr>
        <w:pStyle w:val="Compact"/>
        <w:numPr>
          <w:ilvl w:val="0"/>
          <w:numId w:val="1001"/>
        </w:numPr>
      </w:pPr>
      <w:r>
        <w:rPr>
          <w:b/>
          <w:bCs/>
        </w:rPr>
        <w:t xml:space="preserve">Multiplicité —</w:t>
      </w:r>
      <w:r>
        <w:t xml:space="preserve"> </w:t>
      </w:r>
      <w:r>
        <w:t xml:space="preserve">gérer plusieurs volumes chiffrés (racine + données) sans multiplier les secrets à retenir ;</w:t>
      </w:r>
    </w:p>
    <w:p>
      <w:pPr>
        <w:pStyle w:val="Compact"/>
        <w:numPr>
          <w:ilvl w:val="0"/>
          <w:numId w:val="1001"/>
        </w:numPr>
      </w:pPr>
      <w:r>
        <w:rPr>
          <w:b/>
          <w:bCs/>
        </w:rPr>
        <w:t xml:space="preserve">Résilience —</w:t>
      </w:r>
      <w:r>
        <w:t xml:space="preserve"> </w:t>
      </w:r>
      <w:r>
        <w:t xml:space="preserve">garantir la récupération après perte du secret principal ou destruction du matériel.</w:t>
      </w:r>
    </w:p>
    <w:p>
      <w:pPr>
        <w:pStyle w:val="FirstParagraph"/>
      </w:pPr>
      <w:r>
        <w:t xml:space="preserve">Les solutions courantes délèguent souvent à un tiers : séquestre de clés dans le cloud, puce liée au constructeur, serveur de clés réseau. SelfRecover-LUKS répond aux trois besoins sans aucune dépendance externe.</w:t>
      </w:r>
    </w:p>
    <w:bookmarkEnd w:id="22"/>
    <w:bookmarkStart w:id="23" w:name="positionnement-une-honnêteté-revendiquée"/>
    <w:p>
      <w:pPr>
        <w:pStyle w:val="Heading2"/>
      </w:pPr>
      <w:r>
        <w:t xml:space="preserve">2. Positionnement : une honnêteté revendiquée</w:t>
      </w:r>
    </w:p>
    <w:p>
      <w:pPr>
        <w:pStyle w:val="FirstParagraph"/>
      </w:pPr>
      <w:r>
        <w:t xml:space="preserve">SelfRecover-LUKS n’invente aucune primitive cryptographique. LUKS2 et Argon2id assurent le chiffrement et la dérivation ; un serveur SSH minimal embarqué dans l’image d’amorçage assure l’accès distant. La valeur ajoutée est strictement architecturale : assembler ces briques en une configuration cohérente, entièrement auto-hébergée, où un seul secret mémorisable déverrouille l’ensemble — sans cloud, sans tiers de confiance, sans connexion réseau imposée. C’est une solution de niche assumée : elle vise la souveraineté et la simplicité d’usage, non une performance cryptographique inédite.</w:t>
      </w:r>
    </w:p>
    <w:bookmarkEnd w:id="23"/>
    <w:bookmarkStart w:id="24" w:name="vue-densemble-de-larchitecture"/>
    <w:p>
      <w:pPr>
        <w:pStyle w:val="Heading2"/>
      </w:pPr>
      <w:r>
        <w:t xml:space="preserve">3. Vue d’ensemble de l’architecture</w:t>
      </w:r>
    </w:p>
    <w:p>
      <w:pPr>
        <w:pStyle w:val="FirstParagraph"/>
      </w:pPr>
      <w:r>
        <w:t xml:space="preserve">Le flux se résume ainsi :</w:t>
      </w:r>
    </w:p>
    <w:p>
      <w:pPr>
        <w:pStyle w:val="SourceCode"/>
      </w:pPr>
      <w:r>
        <w:rPr>
          <w:rStyle w:val="VerbatimChar"/>
        </w:rPr>
        <w:t xml:space="preserve">Passphrase de récupération (mémorisée)</w:t>
      </w:r>
      <w:r>
        <w:br/>
      </w:r>
      <w:r>
        <w:rPr>
          <w:rStyle w:val="VerbatimChar"/>
        </w:rPr>
        <w:t xml:space="preserve">   │  dérivation Argon2id, cloisonnée par étiquette</w:t>
      </w:r>
      <w:r>
        <w:br/>
      </w:r>
      <w:r>
        <w:rPr>
          <w:rStyle w:val="VerbatimChar"/>
        </w:rPr>
        <w:t xml:space="preserve">   ▼  clé d'un slot LUKS (étiquette « disk »)</w:t>
      </w:r>
      <w:r>
        <w:br/>
      </w:r>
      <w:r>
        <w:rPr>
          <w:rStyle w:val="VerbatimChar"/>
        </w:rPr>
        <w:t xml:space="preserve">   ├──► volume RACINE      : keyscript dans l'image d'amorçage</w:t>
      </w:r>
      <w:r>
        <w:br/>
      </w:r>
      <w:r>
        <w:rPr>
          <w:rStyle w:val="VerbatimChar"/>
        </w:rPr>
        <w:t xml:space="preserve">   │                          + accès distant SSH minimal (saisie à distance)</w:t>
      </w:r>
      <w:r>
        <w:br/>
      </w:r>
      <w:r>
        <w:rPr>
          <w:rStyle w:val="VerbatimChar"/>
        </w:rPr>
        <w:t xml:space="preserve">   └──► volumes SECONDAIRES : fichier-clé stocké sur la racine chiffrée</w:t>
      </w:r>
      <w:r>
        <w:br/>
      </w:r>
      <w:r>
        <w:rPr>
          <w:rStyle w:val="VerbatimChar"/>
        </w:rPr>
        <w:t xml:space="preserve">                              → ouverture automatique après le pivot</w:t>
      </w:r>
    </w:p>
    <w:bookmarkEnd w:id="24"/>
    <w:bookmarkStart w:id="25" w:name="dérivation-cloisonnée-par-étiquette"/>
    <w:p>
      <w:pPr>
        <w:pStyle w:val="Heading2"/>
      </w:pPr>
      <w:r>
        <w:t xml:space="preserve">4. Dérivation cloisonnée par étiquette</w:t>
      </w:r>
    </w:p>
    <w:p>
      <w:pPr>
        <w:pStyle w:val="FirstParagraph"/>
      </w:pPr>
      <w:r>
        <w:t xml:space="preserve">D’une même passphrase, le dérivateur produit des clés indépendantes selon une étiquette.</w:t>
      </w:r>
      <w:r>
        <w:t xml:space="preserve"> </w:t>
      </w:r>
      <w:r>
        <w:rPr>
          <w:b/>
          <w:bCs/>
        </w:rPr>
        <w:t xml:space="preserve">Une</w:t>
      </w:r>
      <w:r>
        <w:rPr>
          <w:b/>
          <w:bCs/>
        </w:rPr>
        <w:t xml:space="preserve"> </w:t>
      </w:r>
      <w:r>
        <w:rPr>
          <w:b/>
          <w:bCs/>
        </w:rPr>
        <w:t xml:space="preserve">seule a un consommateur : « disk »</w:t>
      </w:r>
      <w:r>
        <w:t xml:space="preserve">, la clé d’un slot LUKS, que le keyscript dérive au</w:t>
      </w:r>
      <w:r>
        <w:t xml:space="preserve"> </w:t>
      </w:r>
      <w:r>
        <w:t xml:space="preserve">démarrage. Le dérivateur en accepte d’autres, mais aucun module n’en emploie : SelfRecover web</w:t>
      </w:r>
      <w:r>
        <w:t xml:space="preserve"> </w:t>
      </w:r>
      <w:r>
        <w:t xml:space="preserve">dérive par un HMAC lié au site, SelfDataGuard par son propre Argon2id.</w:t>
      </w:r>
    </w:p>
    <w:p>
      <w:pPr>
        <w:pStyle w:val="BodyText"/>
      </w:pPr>
      <w:r>
        <w:t xml:space="preserve">Le sel effectif est dérivé par</w:t>
      </w:r>
      <w:r>
        <w:t xml:space="preserve"> </w:t>
      </w:r>
      <w:r>
        <w:rPr>
          <w:rStyle w:val="VerbatimChar"/>
        </w:rPr>
        <w:t xml:space="preserve">SHA-256(sel_de_déploiement + ":" + étiquette)</w:t>
      </w:r>
      <w:r>
        <w:t xml:space="preserve">, tronqué à 16 octets. Le</w:t>
      </w:r>
      <w:r>
        <w:t xml:space="preserve"> </w:t>
      </w:r>
      <w:r>
        <w:rPr>
          <w:rStyle w:val="VerbatimChar"/>
        </w:rPr>
        <w:t xml:space="preserve">sel_de_déploiement</w:t>
      </w:r>
      <w:r>
        <w:t xml:space="preserve"> </w:t>
      </w:r>
      <w:r>
        <w:t xml:space="preserve">doit être</w:t>
      </w:r>
      <w:r>
        <w:t xml:space="preserve"> </w:t>
      </w:r>
      <w:r>
        <w:rPr>
          <w:b/>
          <w:bCs/>
        </w:rPr>
        <w:t xml:space="preserve">aléatoire et unique par machine</w:t>
      </w:r>
      <w:r>
        <w:t xml:space="preserve"> </w:t>
      </w:r>
      <w:r>
        <w:t xml:space="preserve">(issu de</w:t>
      </w:r>
      <w:r>
        <w:t xml:space="preserve"> </w:t>
      </w:r>
      <w:r>
        <w:rPr>
          <w:rStyle w:val="VerbatimChar"/>
        </w:rPr>
        <w:t xml:space="preserve">/dev/urandom</w:t>
      </w:r>
      <w:r>
        <w:t xml:space="preserve">) : c’est lui qui sépare deux déploiements et empêche tout précalcul. Deux étiquettes issues du même secret produisent des clés non corrélées : compromettre une clé dérivée sous une autre étiquette ne révèle pas la clé disque.</w:t>
      </w:r>
    </w:p>
    <w:p>
      <w:pPr>
        <w:pStyle w:val="BodyText"/>
      </w:pPr>
      <w:r>
        <w:t xml:space="preserve">La dérivation emploie</w:t>
      </w:r>
      <w:r>
        <w:t xml:space="preserve"> </w:t>
      </w:r>
      <w:r>
        <w:rPr>
          <w:b/>
          <w:bCs/>
        </w:rPr>
        <w:t xml:space="preserve">Argon2id</w:t>
      </w:r>
      <w:r>
        <w:t xml:space="preserve"> </w:t>
      </w:r>
      <w:r>
        <w:t xml:space="preserve">(memory-hard ; paramètres</w:t>
      </w:r>
      <w:r>
        <w:t xml:space="preserve"> </w:t>
      </w:r>
      <w:r>
        <w:rPr>
          <w:rStyle w:val="VerbatimChar"/>
        </w:rPr>
        <w:t xml:space="preserve">t=3</w:t>
      </w:r>
      <w:r>
        <w:t xml:space="preserve">,</w:t>
      </w:r>
      <w:r>
        <w:t xml:space="preserve"> </w:t>
      </w:r>
      <w:r>
        <w:rPr>
          <w:rStyle w:val="VerbatimChar"/>
        </w:rPr>
        <w:t xml:space="preserve">m=64 MiB</w:t>
      </w:r>
      <w:r>
        <w:t xml:space="preserve">,</w:t>
      </w:r>
      <w:r>
        <w:t xml:space="preserve"> </w:t>
      </w:r>
      <w:r>
        <w:rPr>
          <w:rStyle w:val="VerbatimChar"/>
        </w:rPr>
        <w:t xml:space="preserve">p=4</w:t>
      </w:r>
      <w:r>
        <w:t xml:space="preserve">), qui rend coûteux chaque essai d’une attaque hors-ligne sur un support volé. Ce coût est un</w:t>
      </w:r>
      <w:r>
        <w:t xml:space="preserve"> </w:t>
      </w:r>
      <w:r>
        <w:rPr>
          <w:b/>
          <w:bCs/>
        </w:rPr>
        <w:t xml:space="preserve">facteur de ralentissement, pas une garantie</w:t>
      </w:r>
      <w:r>
        <w:t xml:space="preserve"> </w:t>
      </w:r>
      <w:r>
        <w:t xml:space="preserve">: la résistance au bruteforce tient</w:t>
      </w:r>
      <w:r>
        <w:t xml:space="preserve"> </w:t>
      </w:r>
      <w:r>
        <w:rPr>
          <w:b/>
          <w:bCs/>
        </w:rPr>
        <w:t xml:space="preserve">d’abord à l’entropie de la passphrase de récupération</w:t>
      </w:r>
      <w:r>
        <w:t xml:space="preserve"> </w:t>
      </w:r>
      <w:r>
        <w:t xml:space="preserve">— Argon2id renchérit chaque essai, il ne compense pas un secret faible. Les paramètres sont un compromis (un déverrouillage au démarrage qui reste praticable) et peuvent être renforcés selon le matériel.</w:t>
      </w:r>
    </w:p>
    <w:bookmarkEnd w:id="25"/>
    <w:bookmarkStart w:id="26" w:name="X0e5ac47ab812d24147336ebc2dfc63d9ec76c8f"/>
    <w:p>
      <w:pPr>
        <w:pStyle w:val="Heading2"/>
      </w:pPr>
      <w:r>
        <w:t xml:space="preserve">5. Déverrouillage du volume racine au démarrage</w:t>
      </w:r>
    </w:p>
    <w:p>
      <w:pPr>
        <w:pStyle w:val="FirstParagraph"/>
      </w:pPr>
      <w:r>
        <w:t xml:space="preserve">Le volume racine est référencé dans la table de chiffrement avec un keyscript. Au démarrage, ce keyscript demande la passphrase de récupération, la dérive (étiquette « disk ») et fournit la clé à l’outil de déverrouillage, encodée en hexadécimal. L’encodage n’ajoute aucun secret : il est retenu pour la portabilité, parce qu’une clé hexadécimale s’ouvre aussi bien lue comme fichier-clé que lue comme passphrase, là où une clé en octets bruts échoue sur le second chemin. Pour l’accès distant, un serveur SSH minimal est embarqué dans l’image d’amorçage : l’administrateur s’y connecte et saisit sa passphrase à distance. Sa clé peut être restreinte à un script de secours, qui propose la passphrase de récupération ou la passphrase native, sans ouvrir de shell.</w:t>
      </w:r>
    </w:p>
    <w:p>
      <w:pPr>
        <w:pStyle w:val="BodyText"/>
      </w:pPr>
      <w:r>
        <w:t xml:space="preserve">Deux points d’attention de déploiement, souvent sous-estimés :</w:t>
      </w:r>
    </w:p>
    <w:p>
      <w:pPr>
        <w:pStyle w:val="Compact"/>
        <w:numPr>
          <w:ilvl w:val="0"/>
          <w:numId w:val="1002"/>
        </w:numPr>
      </w:pPr>
      <w:r>
        <w:rPr>
          <w:b/>
          <w:bCs/>
        </w:rPr>
        <w:t xml:space="preserve">Bibliothèque d’exécution —</w:t>
      </w:r>
      <w:r>
        <w:t xml:space="preserve"> </w:t>
      </w:r>
      <w:r>
        <w:t xml:space="preserve">la fonction de dérivation, multi-thread, requiert la présence de la bibliothèque d’exécution des threads dans l’image d’amorçage (dépendance chargée dynamiquement, invisible à l’analyse statique des dépendances) ;</w:t>
      </w:r>
    </w:p>
    <w:p>
      <w:pPr>
        <w:pStyle w:val="Compact"/>
        <w:numPr>
          <w:ilvl w:val="0"/>
          <w:numId w:val="1002"/>
        </w:numPr>
      </w:pPr>
      <w:r>
        <w:rPr>
          <w:b/>
          <w:bCs/>
        </w:rPr>
        <w:t xml:space="preserve">Délai d’attente —</w:t>
      </w:r>
      <w:r>
        <w:t xml:space="preserve"> </w:t>
      </w:r>
      <w:r>
        <w:t xml:space="preserve">le délai d’attente du périphérique racine doit être étendu, afin de laisser le temps d’établir la connexion distante et de saisir la passphrase avant abandon.</w:t>
      </w:r>
    </w:p>
    <w:bookmarkEnd w:id="26"/>
    <w:bookmarkStart w:id="27" w:name="X14a6661d4f2abc50433afd5e7d70821fa27f082"/>
    <w:p>
      <w:pPr>
        <w:pStyle w:val="Heading2"/>
      </w:pPr>
      <w:r>
        <w:t xml:space="preserve">6. Cascade des volumes secondaires : fichier-clé dans le coffre</w:t>
      </w:r>
    </w:p>
    <w:p>
      <w:pPr>
        <w:pStyle w:val="FirstParagraph"/>
      </w:pPr>
      <w:r>
        <w:t xml:space="preserve">Sur les systèmes d’amorçage modernes, les volumes non-racine sont pris en charge par un mécanisme qui ne supporte pas les keyscripts. La réponse standard et robuste consiste à utiliser un fichier-clé aléatoire, stocké sur le volume racine (lui-même chiffré), et ajouté comme slot LUKS du volume secondaire.</w:t>
      </w:r>
    </w:p>
    <w:p>
      <w:pPr>
        <w:pStyle w:val="BodyText"/>
      </w:pPr>
      <w:r>
        <w:t xml:space="preserve">Une fois la racine déverrouillée, le système monte automatiquement les volumes secondaires en lisant ce fichier-clé. Ainsi, une seule saisie de la passphrase de récupération ouvre la racine, puis tous les volumes secondaires s’ouvrent en cascade. La sécurité tient au fait que le fichier-clé réside dans le coffre chiffré : un disque volé reste illisible, car la racine chiffrée rend le fichier-clé inaccessible.</w:t>
      </w:r>
    </w:p>
    <w:p>
      <w:pPr>
        <w:pStyle w:val="BodyText"/>
      </w:pPr>
      <w:r>
        <w:t xml:space="preserve">À noter : sur une machine déjà démarrée, ce fichier-clé est lisible par root. C’est inhérent à tout déverrouillage automatique — le système doit lire une clé quelque part — et sans incidence sur le modèle de menace : qui détient root sur une machine allumée accède de toute façon aux données déjà montées (cf. § 7, « machine allumée » hors périmètre).</w:t>
      </w:r>
    </w:p>
    <w:bookmarkEnd w:id="27"/>
    <w:bookmarkStart w:id="28" w:name="modèle-de-menace"/>
    <w:p>
      <w:pPr>
        <w:pStyle w:val="Heading2"/>
      </w:pPr>
      <w:r>
        <w:t xml:space="preserve">7. Modèle de menace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Scénario</w:t>
            </w:r>
          </w:p>
        </w:tc>
        <w:tc>
          <w:tcPr/>
          <w:p>
            <w:pPr>
              <w:pStyle w:val="Compact"/>
              <w:jc w:val="left"/>
            </w:pPr>
            <w:r>
              <w:rPr>
                <w:b/>
                <w:bCs/>
              </w:rPr>
              <w:t xml:space="preserve">Traitement</w:t>
            </w:r>
          </w:p>
        </w:tc>
      </w:tr>
      <w:tr>
        <w:tc>
          <w:tcPr/>
          <w:p>
            <w:pPr>
              <w:pStyle w:val="Compact"/>
              <w:jc w:val="left"/>
            </w:pPr>
            <w:r>
              <w:rPr>
                <w:b/>
                <w:bCs/>
              </w:rPr>
              <w:t xml:space="preserve">Vol / perte du support (au repos)</w:t>
            </w:r>
          </w:p>
        </w:tc>
        <w:tc>
          <w:tcPr/>
          <w:p>
            <w:pPr>
              <w:pStyle w:val="Compact"/>
              <w:jc w:val="left"/>
            </w:pPr>
            <w:r>
              <w:t xml:space="preserve">LUKS2 + Argon2id : sans la passphrase, l’attaque hors-ligne est ralentie par le KDF, et bornée par l’entropie de la passphrase.</w:t>
            </w:r>
          </w:p>
        </w:tc>
      </w:tr>
      <w:tr>
        <w:tc>
          <w:tcPr/>
          <w:p>
            <w:pPr>
              <w:pStyle w:val="Compact"/>
              <w:jc w:val="left"/>
            </w:pPr>
            <w:r>
              <w:rPr>
                <w:b/>
                <w:bCs/>
              </w:rPr>
              <w:t xml:space="preserve">Déverrouillage à distance</w:t>
            </w:r>
          </w:p>
        </w:tc>
        <w:tc>
          <w:tcPr/>
          <w:p>
            <w:pPr>
              <w:pStyle w:val="Compact"/>
              <w:jc w:val="left"/>
            </w:pPr>
            <w:r>
              <w:t xml:space="preserve">La passphrase transite chiffrée par SSH ; elle n’est jamais stockée en clair.</w:t>
            </w:r>
          </w:p>
        </w:tc>
      </w:tr>
      <w:tr>
        <w:tc>
          <w:tcPr/>
          <w:p>
            <w:pPr>
              <w:pStyle w:val="Compact"/>
              <w:jc w:val="left"/>
            </w:pPr>
            <w:r>
              <w:rPr>
                <w:b/>
                <w:bCs/>
              </w:rPr>
              <w:t xml:space="preserve">Dépendance à un tiers</w:t>
            </w:r>
          </w:p>
        </w:tc>
        <w:tc>
          <w:tcPr/>
          <w:p>
            <w:pPr>
              <w:pStyle w:val="Compact"/>
              <w:jc w:val="left"/>
            </w:pPr>
            <w:r>
              <w:t xml:space="preserve">Aucune : pas de séquestre cloud, pas de clé confiée à un constructeur ou à un serveur externe.</w:t>
            </w:r>
          </w:p>
        </w:tc>
      </w:tr>
      <w:tr>
        <w:tc>
          <w:tcPr/>
          <w:p>
            <w:pPr>
              <w:pStyle w:val="Compact"/>
              <w:jc w:val="left"/>
            </w:pPr>
            <w:r>
              <w:rPr>
                <w:b/>
                <w:bCs/>
              </w:rPr>
              <w:t xml:space="preserve">Compromission du secret de récupération</w:t>
            </w:r>
          </w:p>
        </w:tc>
        <w:tc>
          <w:tcPr/>
          <w:p>
            <w:pPr>
              <w:pStyle w:val="Compact"/>
              <w:jc w:val="left"/>
            </w:pPr>
            <w:r>
              <w:t xml:space="preserve">Donne accès à tout ce qu’il dérive (racine, volumes, clés applicatives). Choix assumé d’un secret unique : il doit être fort et n’être saisi que sur une machine de confiance.</w:t>
            </w:r>
          </w:p>
        </w:tc>
      </w:tr>
      <w:tr>
        <w:tc>
          <w:tcPr/>
          <w:p>
            <w:pPr>
              <w:pStyle w:val="Compact"/>
              <w:jc w:val="left"/>
            </w:pPr>
            <w:r>
              <w:rPr>
                <w:b/>
                <w:bCs/>
              </w:rPr>
              <w:t xml:space="preserve">Machine allumée / déverrouillée</w:t>
            </w:r>
          </w:p>
        </w:tc>
        <w:tc>
          <w:tcPr/>
          <w:p>
            <w:pPr>
              <w:pStyle w:val="Compact"/>
              <w:jc w:val="left"/>
            </w:pPr>
            <w:r>
              <w:t xml:space="preserve">Hors périmètre : les clés sont en mémoire (vrai pour tout FDE).</w:t>
            </w:r>
          </w:p>
        </w:tc>
      </w:tr>
      <w:tr>
        <w:tc>
          <w:tcPr/>
          <w:p>
            <w:pPr>
              <w:pStyle w:val="Compact"/>
              <w:jc w:val="left"/>
            </w:pPr>
            <w:r>
              <w:rPr>
                <w:b/>
                <w:bCs/>
              </w:rPr>
              <w:t xml:space="preserve">Altération de l’amorçage (evil-maid)</w:t>
            </w:r>
          </w:p>
        </w:tc>
        <w:tc>
          <w:tcPr/>
          <w:p>
            <w:pPr>
              <w:pStyle w:val="Compact"/>
              <w:jc w:val="left"/>
            </w:pPr>
            <w:r>
              <w:t xml:space="preserve">Hors périmètre à ce stade : amorçage en clair → cf. travaux futurs (signature / intégrité).</w:t>
            </w:r>
          </w:p>
        </w:tc>
      </w:tr>
    </w:tbl>
    <w:bookmarkEnd w:id="28"/>
    <w:bookmarkStart w:id="29" w:name="filets-anti-verrouillage"/>
    <w:p>
      <w:pPr>
        <w:pStyle w:val="Heading2"/>
      </w:pPr>
      <w:r>
        <w:t xml:space="preserve">8. Filets anti-verrouillage</w:t>
      </w:r>
    </w:p>
    <w:p>
      <w:pPr>
        <w:pStyle w:val="FirstParagraph"/>
      </w:pPr>
      <w:r>
        <w:t xml:space="preserve">Chaque volume conserve un slot « natif » (passphrase classique), indépendant du mécanisme de récupération. En cas de défaillance du keyscript, l’administrateur ouvre le volume manuellement via ce slot, puis poursuit l’amorçage. Des sauvegardes de l’image d’amorçage et de la configuration autorisent un retour arrière immédiat. Principe directeur : aucun point de défaillance unique du côté du déverrouillage.</w:t>
      </w:r>
    </w:p>
    <w:p>
      <w:pPr>
        <w:pStyle w:val="BodyText"/>
      </w:pPr>
      <w:r>
        <w:t xml:space="preserve">L’outillage garde aussi ce qui rendrait une machine muette au démarrage :</w:t>
      </w:r>
    </w:p>
    <w:p>
      <w:pPr>
        <w:pStyle w:val="Compact"/>
        <w:numPr>
          <w:ilvl w:val="0"/>
          <w:numId w:val="1003"/>
        </w:numPr>
      </w:pPr>
      <w:r>
        <w:rPr>
          <w:b/>
          <w:bCs/>
        </w:rPr>
        <w:t xml:space="preserve">Format du slot inscrit —</w:t>
      </w:r>
      <w:r>
        <w:t xml:space="preserve"> </w:t>
      </w:r>
      <w:r>
        <w:t xml:space="preserve">l’enrôlement inscrit le format du slot (hexadécimal ou octets</w:t>
      </w:r>
      <w:r>
        <w:t xml:space="preserve"> </w:t>
      </w:r>
      <w:r>
        <w:t xml:space="preserve">bruts) ; l’installation refuse de poser un keyscript d’un autre format, et refuse de remplacer un</w:t>
      </w:r>
      <w:r>
        <w:t xml:space="preserve"> </w:t>
      </w:r>
      <w:r>
        <w:t xml:space="preserve">keyscript en place tant que ce format n’est pas inscrit ;</w:t>
      </w:r>
    </w:p>
    <w:p>
      <w:pPr>
        <w:pStyle w:val="Compact"/>
        <w:numPr>
          <w:ilvl w:val="0"/>
          <w:numId w:val="1003"/>
        </w:numPr>
      </w:pPr>
      <w:r>
        <w:rPr>
          <w:b/>
          <w:bCs/>
        </w:rPr>
        <w:t xml:space="preserve">Borne de lecture accordée à la clé —</w:t>
      </w:r>
      <w:r>
        <w:t xml:space="preserve"> </w:t>
      </w:r>
      <w:r>
        <w:t xml:space="preserve">la longueur que la table de chiffrement fait lire</w:t>
      </w:r>
      <w:r>
        <w:t xml:space="preserve"> </w:t>
      </w:r>
      <w:r>
        <w:t xml:space="preserve">correspond au format : 64 caractères en hexadécimal, 32 octets en brut ;</w:t>
      </w:r>
    </w:p>
    <w:p>
      <w:pPr>
        <w:pStyle w:val="Compact"/>
        <w:numPr>
          <w:ilvl w:val="0"/>
          <w:numId w:val="1003"/>
        </w:numPr>
      </w:pPr>
      <w:r>
        <w:rPr>
          <w:b/>
          <w:bCs/>
        </w:rPr>
        <w:t xml:space="preserve">Preuve par le dérivateur de l’amorçage —</w:t>
      </w:r>
      <w:r>
        <w:t xml:space="preserve"> </w:t>
      </w:r>
      <w:r>
        <w:t xml:space="preserve">c’est le binaire que lira le keyscript qui rouvre</w:t>
      </w:r>
      <w:r>
        <w:t xml:space="preserve"> </w:t>
      </w:r>
      <w:r>
        <w:t xml:space="preserve">le slot enrôlé, avant que le keyscript ne soit branché ; s’il est introuvable, l’ajout du slot est</w:t>
      </w:r>
      <w:r>
        <w:t xml:space="preserve"> </w:t>
      </w:r>
      <w:r>
        <w:t xml:space="preserve">refusé, sauf désarmement explicite (</w:t>
      </w:r>
      <w:r>
        <w:rPr>
          <w:rStyle w:val="VerbatimChar"/>
        </w:rPr>
        <w:t xml:space="preserve">J_ACCEPTE_PREUVE_SANS_BINAIRE_BOOT=oui</w:t>
      </w:r>
      <w:r>
        <w:t xml:space="preserve">) ;</w:t>
      </w:r>
    </w:p>
    <w:p>
      <w:pPr>
        <w:pStyle w:val="Compact"/>
        <w:numPr>
          <w:ilvl w:val="0"/>
          <w:numId w:val="1003"/>
        </w:numPr>
      </w:pPr>
      <w:r>
        <w:rPr>
          <w:b/>
          <w:bCs/>
        </w:rPr>
        <w:t xml:space="preserve">Image vérifiée après chaque régénération —</w:t>
      </w:r>
      <w:r>
        <w:t xml:space="preserve"> </w:t>
      </w:r>
      <w:r>
        <w:t xml:space="preserve">keyscript, script de secours quand l’image</w:t>
      </w:r>
      <w:r>
        <w:t xml:space="preserve"> </w:t>
      </w:r>
      <w:r>
        <w:t xml:space="preserve">embarque le serveur SSH ; la borne de lecture et le sel quand l’image s’extrait</w:t>
      </w:r>
      <w:r>
        <w:t xml:space="preserve"> </w:t>
      </w:r>
      <w:r>
        <w:t xml:space="preserve">(</w:t>
      </w:r>
      <w:r>
        <w:rPr>
          <w:rStyle w:val="VerbatimChar"/>
        </w:rPr>
        <w:t xml:space="preserve">unmkinitramfs</w:t>
      </w:r>
      <w:r>
        <w:t xml:space="preserve">). Sinon le contrôle le dit sur la sortie d’erreur, sans faire échouer la</w:t>
      </w:r>
      <w:r>
        <w:t xml:space="preserve"> </w:t>
      </w:r>
      <w:r>
        <w:t xml:space="preserve">régénération.</w:t>
      </w:r>
    </w:p>
    <w:bookmarkEnd w:id="29"/>
    <w:bookmarkStart w:id="30" w:name="récupération-après-catastrophe"/>
    <w:p>
      <w:pPr>
        <w:pStyle w:val="Heading2"/>
      </w:pPr>
      <w:r>
        <w:t xml:space="preserve">9. Récupération après catastrophe</w:t>
      </w:r>
    </w:p>
    <w:p>
      <w:pPr>
        <w:pStyle w:val="FirstParagraph"/>
      </w:pPr>
      <w:r>
        <w:t xml:space="preserve">Reconstruire le système après destruction du matériel suppose de conserver, HORS du serveur, trois éléments :</w:t>
      </w:r>
    </w:p>
    <w:p>
      <w:pPr>
        <w:pStyle w:val="Compact"/>
        <w:numPr>
          <w:ilvl w:val="0"/>
          <w:numId w:val="1004"/>
        </w:numPr>
      </w:pPr>
      <w:r>
        <w:rPr>
          <w:b/>
          <w:bCs/>
        </w:rPr>
        <w:t xml:space="preserve">Passphrase —</w:t>
      </w:r>
      <w:r>
        <w:t xml:space="preserve"> </w:t>
      </w:r>
      <w:r>
        <w:t xml:space="preserve">la passphrase de récupération (mémorisée et/ou stockée) ;</w:t>
      </w:r>
    </w:p>
    <w:p>
      <w:pPr>
        <w:pStyle w:val="Compact"/>
        <w:numPr>
          <w:ilvl w:val="0"/>
          <w:numId w:val="1004"/>
        </w:numPr>
      </w:pPr>
      <w:r>
        <w:rPr>
          <w:b/>
          <w:bCs/>
        </w:rPr>
        <w:t xml:space="preserve">Sel —</w:t>
      </w:r>
      <w:r>
        <w:t xml:space="preserve"> </w:t>
      </w:r>
      <w:r>
        <w:t xml:space="preserve">le sel de déploiement, indispensable à la dérivation ;</w:t>
      </w:r>
    </w:p>
    <w:p>
      <w:pPr>
        <w:pStyle w:val="Compact"/>
        <w:numPr>
          <w:ilvl w:val="0"/>
          <w:numId w:val="1004"/>
        </w:numPr>
      </w:pPr>
      <w:r>
        <w:rPr>
          <w:b/>
          <w:bCs/>
        </w:rPr>
        <w:t xml:space="preserve">Sauvegardes —</w:t>
      </w:r>
      <w:r>
        <w:t xml:space="preserve"> </w:t>
      </w:r>
      <w:r>
        <w:t xml:space="preserve">les secrets d’accès aux sauvegardes (accès au dépôt distant, passphrase du dépôt chiffré).</w:t>
      </w:r>
    </w:p>
    <w:p>
      <w:pPr>
        <w:pStyle w:val="FirstParagraph"/>
      </w:pPr>
      <w:r>
        <w:t xml:space="preserve">Sans le sel conservé hors-site, la dérivation est irréalisable sur du matériel neuf : la passphrase seule ne suffit pas. C’est le point critique de toute architecture de ce type, et il doit être traité explicitement, non implicitement.</w:t>
      </w:r>
    </w:p>
    <w:bookmarkEnd w:id="30"/>
    <w:bookmarkStart w:id="31" w:name="déploiement-étapes-génériques"/>
    <w:p>
      <w:pPr>
        <w:pStyle w:val="Heading2"/>
      </w:pPr>
      <w:r>
        <w:t xml:space="preserve">10. Déploiement — étapes génériques</w:t>
      </w:r>
    </w:p>
    <w:p>
      <w:pPr>
        <w:pStyle w:val="Compact"/>
        <w:numPr>
          <w:ilvl w:val="0"/>
          <w:numId w:val="1005"/>
        </w:numPr>
      </w:pPr>
      <w:r>
        <w:t xml:space="preserve">Installer le système en chiffrement intégral (volume racine LUKS2).</w:t>
      </w:r>
    </w:p>
    <w:p>
      <w:pPr>
        <w:pStyle w:val="Compact"/>
        <w:numPr>
          <w:ilvl w:val="0"/>
          <w:numId w:val="1005"/>
        </w:numPr>
      </w:pPr>
      <w:r>
        <w:t xml:space="preserve">Déployer la fonction de dérivation et le sel de déploiement.</w:t>
      </w:r>
    </w:p>
    <w:p>
      <w:pPr>
        <w:pStyle w:val="Compact"/>
        <w:numPr>
          <w:ilvl w:val="0"/>
          <w:numId w:val="1005"/>
        </w:numPr>
      </w:pPr>
      <w:r>
        <w:t xml:space="preserve">Ajouter un slot « récupération » sur chaque volume (clé dérivée, étiquette « disk »), en conservant le slot natif.</w:t>
      </w:r>
    </w:p>
    <w:p>
      <w:pPr>
        <w:pStyle w:val="Compact"/>
        <w:numPr>
          <w:ilvl w:val="0"/>
          <w:numId w:val="1005"/>
        </w:numPr>
      </w:pPr>
      <w:r>
        <w:t xml:space="preserve">Volume racine : keyscript dans la table de chiffrement + serveur SSH minimal dans l’image d’amorçage.</w:t>
      </w:r>
    </w:p>
    <w:p>
      <w:pPr>
        <w:pStyle w:val="Compact"/>
        <w:numPr>
          <w:ilvl w:val="0"/>
          <w:numId w:val="1005"/>
        </w:numPr>
      </w:pPr>
      <w:r>
        <w:t xml:space="preserve">Volumes secondaires : fichier-clé sur la racine + référence dans la table de chiffrement (montés après le pivot).</w:t>
      </w:r>
    </w:p>
    <w:p>
      <w:pPr>
        <w:pStyle w:val="Compact"/>
        <w:numPr>
          <w:ilvl w:val="0"/>
          <w:numId w:val="1005"/>
        </w:numPr>
      </w:pPr>
      <w:r>
        <w:t xml:space="preserve">Régénérer l’image d’amorçage, sauvegarder l’image précédente, puis tester par redémarrage avec filet (slot natif + accès console).</w:t>
      </w:r>
    </w:p>
    <w:bookmarkEnd w:id="31"/>
    <w:bookmarkStart w:id="32" w:name="limites-et-travaux-futurs"/>
    <w:p>
      <w:pPr>
        <w:pStyle w:val="Heading2"/>
      </w:pPr>
      <w:r>
        <w:t xml:space="preserve">11. Limites et travaux futurs</w:t>
      </w:r>
    </w:p>
    <w:p>
      <w:pPr>
        <w:pStyle w:val="Compact"/>
        <w:numPr>
          <w:ilvl w:val="0"/>
          <w:numId w:val="1006"/>
        </w:numPr>
      </w:pPr>
      <w:r>
        <w:rPr>
          <w:b/>
          <w:bCs/>
        </w:rPr>
        <w:t xml:space="preserve">Durcissement evil-maid :</w:t>
      </w:r>
      <w:r>
        <w:t xml:space="preserve"> </w:t>
      </w:r>
      <w:r>
        <w:t xml:space="preserve">l’amorçage reste en clair. Le démarrage sécurisé est la</w:t>
      </w:r>
      <w:r>
        <w:t xml:space="preserve"> </w:t>
      </w:r>
      <w:r>
        <w:t xml:space="preserve">seule parade réellement envisagée, et son coût a été mesuré :</w:t>
      </w:r>
    </w:p>
    <w:p>
      <w:pPr>
        <w:pStyle w:val="Compact"/>
        <w:numPr>
          <w:ilvl w:val="1"/>
          <w:numId w:val="1007"/>
        </w:numPr>
      </w:pPr>
      <w:r>
        <w:rPr>
          <w:b/>
          <w:bCs/>
        </w:rPr>
        <w:t xml:space="preserve">signer le noyau ne suffit pas.</w:t>
      </w:r>
      <w:r>
        <w:t xml:space="preserve"> </w:t>
      </w:r>
      <w:r>
        <w:t xml:space="preserve">L’initramfs porte le keyscript, le binaire de</w:t>
      </w:r>
      <w:r>
        <w:t xml:space="preserve"> </w:t>
      </w:r>
      <w:r>
        <w:t xml:space="preserve">dérivation et le sel ; il n’est pas couvert par la signature du noyau seul. Il</w:t>
      </w:r>
      <w:r>
        <w:t xml:space="preserve"> </w:t>
      </w:r>
      <w:r>
        <w:t xml:space="preserve">faut une</w:t>
      </w:r>
      <w:r>
        <w:t xml:space="preserve"> </w:t>
      </w:r>
      <w:r>
        <w:rPr>
          <w:b/>
          <w:bCs/>
        </w:rPr>
        <w:t xml:space="preserve">image unifiée</w:t>
      </w:r>
      <w:r>
        <w:t xml:space="preserve"> </w:t>
      </w:r>
      <w:r>
        <w:t xml:space="preserve">(noyau + initramfs + ligne de commande en un seul</w:t>
      </w:r>
      <w:r>
        <w:t xml:space="preserve"> </w:t>
      </w:r>
      <w:r>
        <w:t xml:space="preserve">binaire signé), donc changer de chaîne d’amorçage ;</w:t>
      </w:r>
    </w:p>
    <w:p>
      <w:pPr>
        <w:pStyle w:val="Compact"/>
        <w:numPr>
          <w:ilvl w:val="1"/>
          <w:numId w:val="1007"/>
        </w:numPr>
      </w:pPr>
      <w:r>
        <w:t xml:space="preserve">le</w:t>
      </w:r>
      <w:r>
        <w:t xml:space="preserve"> </w:t>
      </w:r>
      <w:r>
        <w:rPr>
          <w:b/>
          <w:bCs/>
        </w:rPr>
        <w:t xml:space="preserve">verrouillage du noyau</w:t>
      </w:r>
      <w:r>
        <w:t xml:space="preserve"> </w:t>
      </w:r>
      <w:r>
        <w:t xml:space="preserve">qui accompagne le démarrage sécurisé</w:t>
      </w:r>
      <w:r>
        <w:t xml:space="preserve"> </w:t>
      </w:r>
      <w:r>
        <w:rPr>
          <w:b/>
          <w:bCs/>
        </w:rPr>
        <w:t xml:space="preserve">supprime</w:t>
      </w:r>
      <w:r>
        <w:rPr>
          <w:b/>
          <w:bCs/>
        </w:rPr>
        <w:t xml:space="preserve"> </w:t>
      </w:r>
      <w:r>
        <w:rPr>
          <w:b/>
          <w:bCs/>
        </w:rPr>
        <w:t xml:space="preserve">l’hibernation</w:t>
      </w:r>
      <w:r>
        <w:t xml:space="preserve"> </w:t>
      </w:r>
      <w:r>
        <w:t xml:space="preserve">— l’image de veille prolongée n’étant pas vérifiable, elle est</w:t>
      </w:r>
      <w:r>
        <w:t xml:space="preserve"> </w:t>
      </w:r>
      <w:r>
        <w:t xml:space="preserve">refusée. C’est un renoncement fonctionnel, pas un réglage ;</w:t>
      </w:r>
    </w:p>
    <w:p>
      <w:pPr>
        <w:pStyle w:val="Compact"/>
        <w:numPr>
          <w:ilvl w:val="1"/>
          <w:numId w:val="1007"/>
        </w:numPr>
      </w:pPr>
      <w:r>
        <w:t xml:space="preserve">à recommander par défaut</w:t>
      </w:r>
      <w:r>
        <w:t xml:space="preserve"> </w:t>
      </w:r>
      <w:r>
        <w:rPr>
          <w:b/>
          <w:bCs/>
        </w:rPr>
        <w:t xml:space="preserve">sur poste fixe</w:t>
      </w:r>
      <w:r>
        <w:t xml:space="preserve">, où l’hibernation ne manque pas ;</w:t>
      </w:r>
      <w:r>
        <w:t xml:space="preserve"> </w:t>
      </w:r>
      <w:r>
        <w:t xml:space="preserve">sur portable, l’arbitrage revient à l’utilisateur.</w:t>
      </w:r>
    </w:p>
    <w:p>
      <w:pPr>
        <w:pStyle w:val="Compact"/>
        <w:numPr>
          <w:ilvl w:val="0"/>
          <w:numId w:val="1006"/>
        </w:numPr>
      </w:pPr>
      <w:r>
        <w:rPr>
          <w:b/>
          <w:bCs/>
        </w:rPr>
        <w:t xml:space="preserve">Mesure d’intégrité matérielle</w:t>
      </w:r>
      <w:r>
        <w:t xml:space="preserve"> </w:t>
      </w:r>
      <w:r>
        <w:t xml:space="preserve">(TPM) : à étudier, non instruite à ce jour.</w:t>
      </w:r>
    </w:p>
    <w:p>
      <w:pPr>
        <w:pStyle w:val="Compact"/>
        <w:numPr>
          <w:ilvl w:val="0"/>
          <w:numId w:val="1006"/>
        </w:numPr>
      </w:pPr>
      <w:r>
        <w:rPr>
          <w:b/>
          <w:bCs/>
        </w:rPr>
        <w:t xml:space="preserve">Quorum distribué :</w:t>
      </w:r>
      <w:r>
        <w:t xml:space="preserve"> </w:t>
      </w:r>
      <w:r>
        <w:t xml:space="preserve">déverrouillage automatique par consensus de témoins, sans saisie, en réflexion.</w:t>
      </w:r>
    </w:p>
    <w:p>
      <w:pPr>
        <w:pStyle w:val="Compact"/>
        <w:numPr>
          <w:ilvl w:val="0"/>
          <w:numId w:val="1006"/>
        </w:numPr>
      </w:pPr>
      <w:r>
        <w:rPr>
          <w:b/>
          <w:bCs/>
        </w:rPr>
        <w:t xml:space="preserve">Unification des sauvegardes :</w:t>
      </w:r>
      <w:r>
        <w:t xml:space="preserve"> </w:t>
      </w:r>
      <w:r>
        <w:t xml:space="preserve">dériver les secrets de sauvegarde depuis la même passphrase racine (étiquette dédiée), pour unifier complètement le socle de confiance — en gardant à l’esprit la contrainte du sel hors-site.</w:t>
      </w:r>
    </w:p>
    <w:bookmarkEnd w:id="32"/>
    <w:bookmarkStart w:id="33" w:name="licence-et-écosystème"/>
    <w:p>
      <w:pPr>
        <w:pStyle w:val="Heading2"/>
      </w:pPr>
      <w:r>
        <w:t xml:space="preserve">12. Licence et écosystème</w:t>
      </w:r>
    </w:p>
    <w:p>
      <w:pPr>
        <w:pStyle w:val="FirstParagraph"/>
      </w:pPr>
      <w:r>
        <w:t xml:space="preserve">SelfRecover-LUKS est publié sous licence AGPL-3.0-or-later. Il s’inscrit dans le pilier Self-Security de l’écosystème MySelf, dédié à la souveraineté numérique : des outils auto-hébergeables, sans dépendance à un cloud ni à un tiers de confiance.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SelfRecover-LUKS_Whitepaper.docx" TargetMode="External" /></Relationships>
</file>

<file path=word/_rels/footnotes.xml.rels><?xml version="1.0" encoding="UTF-8"?><Relationships xmlns="http://schemas.openxmlformats.org/package/2006/relationships"><Relationship Type="http://schemas.openxmlformats.org/officeDocument/2006/relationships/hyperlink" Id="rId20" Target="./SelfRecover-LUKS_Whitepaper.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SharedDoc>false</SharedDoc>
  <HyperlinksChanged>false</HyperlinksChanged>
  <LinksUpToDate>false</LinksUpToDate>
  <Application>pandoc + MySelf/scripts/whitepaper-docx.sh</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2026-10-04T11:56:48Z</dcterms:created>
  <dcterms:modified xsi:type="dcterms:W3CDTF">2026-10-04T11:56:48Z</dcterms:modified>
</cp:coreProperties>
</file>

<file path=docProps/custom.xml><?xml version="1.0" encoding="utf-8"?>
<Properties xmlns="http://schemas.openxmlformats.org/officeDocument/2006/custom-properties" xmlns:vt="http://schemas.openxmlformats.org/officeDocument/2006/docPropsVTypes"/>
</file>