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3"/>
    <w:p>
      <w:pPr>
        <w:pStyle w:val="Heading1"/>
      </w:pPr>
      <w:r>
        <w:t xml:space="preserve">SelfRecover — Whitepaper v1.3</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5 October 2026 — v1.3 — describes SelfRecover 0.10.0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are server-generated and do pass through the server.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5 failures / 15 minutes per account and 12 per address (defaults, set by the integrator). The per-address brake only exists under the</w:t>
      </w:r>
      <w:r>
        <w:t xml:space="preserve"> </w:t>
      </w:r>
      <w:r>
        <w:rPr>
          <w:rStyle w:val="VerbatimChar"/>
        </w:rPr>
        <w:t xml:space="preserve">clearweb</w:t>
      </w:r>
      <w:r>
        <w:t xml:space="preserve"> </w:t>
      </w:r>
      <w:r>
        <w:t xml:space="preserve">deployment profile; behind a hidden service, the</w:t>
      </w:r>
      <w:r>
        <w:t xml:space="preserve"> </w:t>
      </w:r>
      <w:r>
        <w:rPr>
          <w:rStyle w:val="VerbatimChar"/>
        </w:rPr>
        <w:t xml:space="preserve">tor-onion</w:t>
      </w:r>
      <w:r>
        <w:t xml:space="preserve"> </w:t>
      </w:r>
      <w:r>
        <w:t xml:space="preserve">profile keeps only the per-account brake. The profile is mandatory, with no default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and 20 service-wide per hour (defaults).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at level 1, neither as is nor its words in another order;</w:t>
      </w:r>
      <w:r>
        <w:t xml:space="preserve"> </w:t>
      </w:r>
      <w:r>
        <w:t xml:space="preserve">at levels 2 and 3, as is, once the factors are verified.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on which the freeze is counted, nor the accepted ones, which a holder may still come back to consume. ⚠️ The library exposes the method;</w:t>
      </w:r>
      <w:r>
        <w:t xml:space="preserve"> </w:t>
      </w:r>
      <w:r>
        <w:rPr>
          <w:b/>
          <w:bCs/>
        </w:rPr>
        <w:t xml:space="preserve">it has no clock</w:t>
      </w:r>
      <w:r>
        <w:t xml:space="preserve">. Calling it is the deployment’s job, from a scheduled task.</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On the</w:t>
      </w:r>
      <w:r>
        <w:t xml:space="preserve"> </w:t>
      </w:r>
      <w:r>
        <w:rPr>
          <w:b/>
          <w:bCs/>
        </w:rPr>
        <w:t xml:space="preserve">3rd refusal within a rolling 30-day window</w:t>
      </w:r>
      <w:r>
        <w:t xml:space="preserve">,</w:t>
      </w:r>
      <w:r>
        <w:t xml:space="preserve"> </w:t>
      </w:r>
      <w:r>
        <w:rPr>
          <w:i/>
          <w:iCs/>
        </w:rPr>
        <w:t xml:space="preserve">opening</w:t>
      </w:r>
      <w:r>
        <w:t xml:space="preserve"> </w:t>
      </w:r>
      <w:r>
        <w:t xml:space="preserve">new cases freezes for 7 days on that account. An administrator can lift the freeze,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w:t>
      </w:r>
      <w:r>
        <w:t xml:space="preserve"> </w:t>
      </w:r>
      <w:r>
        <w:t xml:space="preserve">the freeze costs whoever insists without convincing, and costs the owner nothing — they keep signing in normally throughout. Counting is on</w:t>
      </w:r>
      <w:r>
        <w:t xml:space="preserve"> </w:t>
      </w:r>
      <w:r>
        <w:rPr>
          <w:b/>
          <w:bCs/>
        </w:rPr>
        <w:t xml:space="preserve">refused cases</w:t>
      </w:r>
      <w:r>
        <w:t xml:space="preserve">, not submissions: three submissions within one case remain one refusal, otherwise an honest owner’s persistence would trip the freeze as fast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account and per address at levels 1 and 2 and at device enrollment, with level-2 suspension after 20 failures; per address and service-wide when opening a level-3 dispute. The per-address brake only exists under the</w:t>
      </w:r>
      <w:r>
        <w:t xml:space="preserve"> </w:t>
      </w:r>
      <w:r>
        <w:rPr>
          <w:rStyle w:val="VerbatimChar"/>
        </w:rPr>
        <w:t xml:space="preserve">clearweb</w:t>
      </w:r>
      <w:r>
        <w:t xml:space="preserve"> </w:t>
      </w:r>
      <w:r>
        <w:t xml:space="preserve">profile</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toward the freeze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account and per address at levels 1 and 2 and at enrollment, level-2 suspension after 20 failures, an Argon2id cost per server-side attempt</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two brakes applied before the account lookup (per address, per service),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Per-account and per-address brakes, and level-2 suspension, slow online brute force down;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until the 7-day freeze, on the 3rd refusal in 30 days</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three adapter constructs (four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(v1.3)</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2026-10-05T03:59:22Z</dcterms:created>
  <dcterms:modified xsi:type="dcterms:W3CDTF">2026-10-05T03:59:22Z</dcterms:modified>
</cp:coreProperties>
</file>

<file path=docProps/custom.xml><?xml version="1.0" encoding="utf-8"?>
<Properties xmlns="http://schemas.openxmlformats.org/officeDocument/2006/custom-properties" xmlns:vt="http://schemas.openxmlformats.org/officeDocument/2006/docPropsVTypes"/>
</file>