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5 octobre 2026 — v1.3 — décrit SelfRecover 0.10.0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sont engendrés par le serveur et passent par lui.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5 échecs / 15 minutes par compte et 12 par adresse (valeurs par défaut, réglées par l’intégrateur). Le frein par adresse n’existe que sous le profil de déploiement</w:t>
      </w:r>
      <w:r>
        <w:t xml:space="preserve"> </w:t>
      </w:r>
      <w:r>
        <w:rPr>
          <w:rStyle w:val="VerbatimChar"/>
        </w:rPr>
        <w:t xml:space="preserve">clearweb</w:t>
      </w:r>
      <w:r>
        <w:t xml:space="preserve"> </w:t>
      </w:r>
      <w:r>
        <w:t xml:space="preserve">; derrière un service caché, le profil</w:t>
      </w:r>
      <w:r>
        <w:t xml:space="preserve"> </w:t>
      </w:r>
      <w:r>
        <w:rPr>
          <w:rStyle w:val="VerbatimChar"/>
        </w:rPr>
        <w:t xml:space="preserve">tor-onion</w:t>
      </w:r>
      <w:r>
        <w:t xml:space="preserve"> </w:t>
      </w:r>
      <w:r>
        <w:t xml:space="preserve">ne garde que le frein par compte. Le profil est obligatoire, sans défaut</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w:t>
      </w:r>
      <w:r>
        <w:t xml:space="preserve">: au niveau 1, ni telle quelle ni ses mots dans un autre</w:t>
      </w:r>
      <w:r>
        <w:t xml:space="preserve"> </w:t>
      </w:r>
      <w:r>
        <w:t xml:space="preserve">ordre ; aux niveaux 2 et 3, telle quelle, une fois les facteurs vérifiés.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compte et par adresse aux niveaux 1 et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compte et par adresse aux niveaux 1 et 2 et à l’enrôlement, suspension du niveau 2 après 20 échecs, coût Argon2id par essai côté serveur</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deux freins avant la recherche du compte (par adresse, par service),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Les freins par compte et par adresse, et la suspension du niveau 2, ralentissent la force brute en ligne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(v1.3)</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2026-10-05T03:59:22Z</dcterms:created>
  <dcterms:modified xsi:type="dcterms:W3CDTF">2026-10-05T03:59:22Z</dcterms:modified>
</cp:coreProperties>
</file>

<file path=docProps/custom.xml><?xml version="1.0" encoding="utf-8"?>
<Properties xmlns="http://schemas.openxmlformats.org/officeDocument/2006/custom-properties" xmlns:vt="http://schemas.openxmlformats.org/officeDocument/2006/docPropsVTypes"/>
</file>