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SelfCashpay</w:t>
      </w:r>
      <w:r>
        <w:t xml:space="preserve"> </w:t>
      </w:r>
      <w:r>
        <w:t xml:space="preserve">—</w:t>
      </w:r>
      <w:r>
        <w:t xml:space="preserve"> </w:t>
      </w:r>
      <w:r>
        <w:t xml:space="preserve">Whitepaper</w:t>
      </w:r>
    </w:p>
    <w:p>
      <w:pPr>
        <w:pStyle w:val="Subtitle"/>
      </w:pPr>
      <w:r>
        <w:t xml:space="preserve">Rehabilitating</w:t>
      </w:r>
      <w:r>
        <w:t xml:space="preserve"> </w:t>
      </w:r>
      <w:r>
        <w:t xml:space="preserve">EPC069-12:</w:t>
      </w:r>
      <w:r>
        <w:t xml:space="preserve"> </w:t>
      </w:r>
      <w:r>
        <w:t xml:space="preserve">zero-commission</w:t>
      </w:r>
      <w:r>
        <w:t xml:space="preserve"> </w:t>
      </w:r>
      <w:r>
        <w:t xml:space="preserve">SEPA</w:t>
      </w:r>
      <w:r>
        <w:t xml:space="preserve"> </w:t>
      </w:r>
      <w:r>
        <w:t xml:space="preserve">payments</w:t>
      </w:r>
      <w:r>
        <w:t xml:space="preserve"> </w:t>
      </w:r>
      <w:r>
        <w:t xml:space="preserve">via</w:t>
      </w:r>
      <w:r>
        <w:t xml:space="preserve"> </w:t>
      </w:r>
      <w:r>
        <w:t xml:space="preserve">QR</w:t>
      </w:r>
    </w:p>
    <w:p>
      <w:pPr>
        <w:pStyle w:val="Author"/>
      </w:pPr>
      <w:r>
        <w:t xml:space="preserve">Pierroons</w:t>
      </w:r>
      <w:r>
        <w:t xml:space="preserve"> </w:t>
      </w:r>
      <w:r>
        <w:t xml:space="preserve">—</w:t>
      </w:r>
      <w:r>
        <w:t xml:space="preserve"> </w:t>
      </w:r>
      <w:r>
        <w:t xml:space="preserve">MySelf</w:t>
      </w:r>
      <w:r>
        <w:t xml:space="preserve"> </w:t>
      </w:r>
      <w:r>
        <w:t xml:space="preserve">ecosystem</w:t>
      </w:r>
    </w:p>
    <w:p>
      <w:pPr>
        <w:pStyle w:val="Date"/>
      </w:pPr>
      <w:r>
        <w:t xml:space="preserve">April</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executive-summary"/>
    <w:p>
      <w:pPr>
        <w:pStyle w:val="Heading1"/>
      </w:pPr>
      <w:r>
        <w:t xml:space="preserve">Executive summary</w:t>
      </w:r>
    </w:p>
    <w:p>
      <w:pPr>
        <w:pStyle w:val="FirstParagraph"/>
      </w:pPr>
      <w:r>
        <w:t xml:space="preserve">SelfCashpay is an open-source tool that generates</w:t>
      </w:r>
      <w:r>
        <w:t xml:space="preserve"> </w:t>
      </w:r>
      <w:r>
        <w:rPr>
          <w:b/>
          <w:bCs/>
        </w:rPr>
        <w:t xml:space="preserve">SEPA Credit Transfer QR codes</w:t>
      </w:r>
      <w:r>
        <w:t xml:space="preserve"> </w:t>
      </w:r>
      <w:r>
        <w:t xml:space="preserve">conforming to the European Payments Council specification EPC069-12. Any EU banking app that supports the standard — and they all do — reads the QR, pre-fills a virement, and executes the transfer through standard SEPA rails.</w:t>
      </w:r>
    </w:p>
    <w:p>
      <w:pPr>
        <w:pStyle w:val="BodyText"/>
      </w:pPr>
      <w:r>
        <w:t xml:space="preserve">There is no intermediary. The tool does not hold funds. There is no commission, no KYC, no payment license, no vendor. Creators, associations, freelancers, and small businesses receive payments directly on their own IBAN within minutes (SEPA Instant) or the same day (regular SEPA).</w:t>
      </w:r>
    </w:p>
    <w:bookmarkEnd w:id="20"/>
    <w:bookmarkStart w:id="21" w:name="the-lost-standard"/>
    <w:p>
      <w:pPr>
        <w:pStyle w:val="Heading1"/>
      </w:pPr>
      <w:r>
        <w:t xml:space="preserve">1. The lost standard</w:t>
      </w:r>
    </w:p>
    <w:p>
      <w:pPr>
        <w:pStyle w:val="FirstParagraph"/>
      </w:pPr>
      <w:r>
        <w:t xml:space="preserve">In February 2013, the European Payments Council published EPC069-12:</w:t>
      </w:r>
      <w:r>
        <w:t xml:space="preserve"> </w:t>
      </w:r>
      <w:r>
        <w:t xml:space="preserve">“</w:t>
      </w:r>
      <w:r>
        <w:t xml:space="preserve">Quick Response Code: Guidelines to Enable the Data Capture for the Initiation of a SEPA Credit Transfer</w:t>
      </w:r>
      <w:r>
        <w:t xml:space="preserve">”</w:t>
      </w:r>
      <w:r>
        <w:t xml:space="preserve">. The standard defines a simple, UTF-8 text format encodable into any QR code that any EU banking app can parse.</w:t>
      </w:r>
    </w:p>
    <w:p>
      <w:pPr>
        <w:pStyle w:val="BodyText"/>
      </w:pPr>
      <w:r>
        <w:t xml:space="preserve">Over a decade later, the standard is:</w:t>
      </w:r>
    </w:p>
    <w:p>
      <w:pPr>
        <w:pStyle w:val="Compact"/>
        <w:numPr>
          <w:ilvl w:val="0"/>
          <w:numId w:val="1001"/>
        </w:numPr>
      </w:pPr>
      <w:r>
        <w:rPr>
          <w:b/>
          <w:bCs/>
        </w:rPr>
        <w:t xml:space="preserve">Universally supported</w:t>
      </w:r>
      <w:r>
        <w:t xml:space="preserve"> </w:t>
      </w:r>
      <w:r>
        <w:t xml:space="preserve">by EU banks (BNP Paribas, Société Générale, Crédit Agricole, Crédit Mutuel, ING, N26, Revolut, Boursorama, Qonto, Shine, Lydia, etc.).</w:t>
      </w:r>
    </w:p>
    <w:p>
      <w:pPr>
        <w:pStyle w:val="Compact"/>
        <w:numPr>
          <w:ilvl w:val="0"/>
          <w:numId w:val="1001"/>
        </w:numPr>
      </w:pPr>
      <w:r>
        <w:rPr>
          <w:b/>
          <w:bCs/>
        </w:rPr>
        <w:t xml:space="preserve">Officially free to use</w:t>
      </w:r>
      <w:r>
        <w:t xml:space="preserve"> </w:t>
      </w:r>
      <w:r>
        <w:t xml:space="preserve">(no license, no royalty, no gateway).</w:t>
      </w:r>
    </w:p>
    <w:p>
      <w:pPr>
        <w:pStyle w:val="Compact"/>
        <w:numPr>
          <w:ilvl w:val="0"/>
          <w:numId w:val="1001"/>
        </w:numPr>
      </w:pPr>
      <w:r>
        <w:rPr>
          <w:b/>
          <w:bCs/>
        </w:rPr>
        <w:t xml:space="preserve">Completely absent from public awareness</w:t>
      </w:r>
      <w:r>
        <w:t xml:space="preserve">, because commercial payment providers (Stripe, PayPal, Square, Sumup) have zero incentive to promote a commission-free alternative that makes them redundant.</w:t>
      </w:r>
    </w:p>
    <w:p>
      <w:pPr>
        <w:pStyle w:val="FirstParagraph"/>
      </w:pPr>
      <w:r>
        <w:t xml:space="preserve">SelfCashpay is a one-line rehabilitation of this standard: a generator + a compatibility matrix + self-hosting guides.</w:t>
      </w:r>
    </w:p>
    <w:bookmarkEnd w:id="21"/>
    <w:bookmarkStart w:id="25" w:name="specification-epc069-12"/>
    <w:p>
      <w:pPr>
        <w:pStyle w:val="Heading1"/>
      </w:pPr>
      <w:r>
        <w:t xml:space="preserve">2. Specification (EPC069-12)</w:t>
      </w:r>
    </w:p>
    <w:bookmarkStart w:id="22" w:name="format"/>
    <w:p>
      <w:pPr>
        <w:pStyle w:val="Heading2"/>
      </w:pPr>
      <w:r>
        <w:t xml:space="preserve">2.1 Format</w:t>
      </w:r>
    </w:p>
    <w:p>
      <w:pPr>
        <w:pStyle w:val="FirstParagraph"/>
      </w:pPr>
      <w:r>
        <w:t xml:space="preserve">The QR payload is a</w:t>
      </w:r>
      <w:r>
        <w:t xml:space="preserve"> </w:t>
      </w:r>
      <w:r>
        <w:rPr>
          <w:b/>
          <w:bCs/>
        </w:rPr>
        <w:t xml:space="preserve">UTF-8 text block</w:t>
      </w:r>
      <w:r>
        <w:t xml:space="preserve"> </w:t>
      </w:r>
      <w:r>
        <w:t xml:space="preserve">with each field on its own line, in a strict order:</w:t>
      </w:r>
    </w:p>
    <w:p>
      <w:pPr>
        <w:pStyle w:val="SourceCode"/>
      </w:pPr>
      <w:r>
        <w:rPr>
          <w:rStyle w:val="VerbatimChar"/>
        </w:rPr>
        <w:t xml:space="preserve">Line 1: BCD                 (service tag — fixed)</w:t>
      </w:r>
      <w:r>
        <w:br/>
      </w:r>
      <w:r>
        <w:rPr>
          <w:rStyle w:val="VerbatimChar"/>
        </w:rPr>
        <w:t xml:space="preserve">Line 2: 002                 (version — current)</w:t>
      </w:r>
      <w:r>
        <w:br/>
      </w:r>
      <w:r>
        <w:rPr>
          <w:rStyle w:val="VerbatimChar"/>
        </w:rPr>
        <w:t xml:space="preserve">Line 3: 1 or 2              (character set: 1 = UTF-8, 2 = ISO-8859-1)</w:t>
      </w:r>
      <w:r>
        <w:br/>
      </w:r>
      <w:r>
        <w:rPr>
          <w:rStyle w:val="VerbatimChar"/>
        </w:rPr>
        <w:t xml:space="preserve">Line 4: SCT                 (identification: SEPA Credit Transfer)</w:t>
      </w:r>
      <w:r>
        <w:br/>
      </w:r>
      <w:r>
        <w:rPr>
          <w:rStyle w:val="VerbatimChar"/>
        </w:rPr>
        <w:t xml:space="preserve">Line 5: BIC                 (optional in zone SEPA, required outside)</w:t>
      </w:r>
      <w:r>
        <w:br/>
      </w:r>
      <w:r>
        <w:rPr>
          <w:rStyle w:val="VerbatimChar"/>
        </w:rPr>
        <w:t xml:space="preserve">Line 6: Beneficiary name    (max 70 chars)</w:t>
      </w:r>
      <w:r>
        <w:br/>
      </w:r>
      <w:r>
        <w:rPr>
          <w:rStyle w:val="VerbatimChar"/>
        </w:rPr>
        <w:t xml:space="preserve">Line 7: IBAN                (max 34 chars)</w:t>
      </w:r>
      <w:r>
        <w:br/>
      </w:r>
      <w:r>
        <w:rPr>
          <w:rStyle w:val="VerbatimChar"/>
        </w:rPr>
        <w:t xml:space="preserve">Line 8: Currency + amount   (e.g. "EUR45.00", max 12 chars)</w:t>
      </w:r>
      <w:r>
        <w:br/>
      </w:r>
      <w:r>
        <w:rPr>
          <w:rStyle w:val="VerbatimChar"/>
        </w:rPr>
        <w:t xml:space="preserve">Line 9: Purpose             (ISO 20022 code, optional, 4 chars)</w:t>
      </w:r>
      <w:r>
        <w:br/>
      </w:r>
      <w:r>
        <w:rPr>
          <w:rStyle w:val="VerbatimChar"/>
        </w:rPr>
        <w:t xml:space="preserve">Line 10: Reference          (max 35 chars, used for reconciliation)</w:t>
      </w:r>
      <w:r>
        <w:br/>
      </w:r>
      <w:r>
        <w:rPr>
          <w:rStyle w:val="VerbatimChar"/>
        </w:rPr>
        <w:t xml:space="preserve">Line 11: Free text          (max 140 chars, optional)</w:t>
      </w:r>
    </w:p>
    <w:p>
      <w:pPr>
        <w:pStyle w:val="FirstParagraph"/>
      </w:pPr>
      <w:r>
        <w:t xml:space="preserve">Total size: ≤ 800 bytes, easily fits in a 33×33 QR matrix with error correction level M.</w:t>
      </w:r>
    </w:p>
    <w:bookmarkEnd w:id="22"/>
    <w:bookmarkStart w:id="23" w:name="example"/>
    <w:p>
      <w:pPr>
        <w:pStyle w:val="Heading2"/>
      </w:pPr>
      <w:r>
        <w:t xml:space="preserve">2.2 Example</w:t>
      </w:r>
    </w:p>
    <w:p>
      <w:pPr>
        <w:pStyle w:val="SourceCode"/>
      </w:pPr>
      <w:r>
        <w:rPr>
          <w:rStyle w:val="VerbatimChar"/>
        </w:rPr>
        <w:t xml:space="preserve">BCD</w:t>
      </w:r>
      <w:r>
        <w:br/>
      </w:r>
      <w:r>
        <w:rPr>
          <w:rStyle w:val="VerbatimChar"/>
        </w:rPr>
        <w:t xml:space="preserve">002</w:t>
      </w:r>
      <w:r>
        <w:br/>
      </w:r>
      <w:r>
        <w:rPr>
          <w:rStyle w:val="VerbatimChar"/>
        </w:rPr>
        <w:t xml:space="preserve">1</w:t>
      </w:r>
      <w:r>
        <w:br/>
      </w:r>
      <w:r>
        <w:rPr>
          <w:rStyle w:val="VerbatimChar"/>
        </w:rPr>
        <w:t xml:space="preserve">SCT</w:t>
      </w:r>
      <w:r>
        <w:br/>
      </w:r>
      <w:r>
        <w:br/>
      </w:r>
      <w:r>
        <w:rPr>
          <w:rStyle w:val="VerbatimChar"/>
        </w:rPr>
        <w:t xml:space="preserve">JEANNE DUPONT</w:t>
      </w:r>
      <w:r>
        <w:br/>
      </w:r>
      <w:r>
        <w:rPr>
          <w:rStyle w:val="VerbatimChar"/>
        </w:rPr>
        <w:t xml:space="preserve">FR7612345678901234567890123</w:t>
      </w:r>
      <w:r>
        <w:br/>
      </w:r>
      <w:r>
        <w:rPr>
          <w:rStyle w:val="VerbatimChar"/>
        </w:rPr>
        <w:t xml:space="preserve">EUR45.00</w:t>
      </w:r>
      <w:r>
        <w:br/>
      </w:r>
      <w:r>
        <w:br/>
      </w:r>
      <w:r>
        <w:rPr>
          <w:rStyle w:val="VerbatimChar"/>
        </w:rPr>
        <w:t xml:space="preserve">FACT-2026-0042</w:t>
      </w:r>
    </w:p>
    <w:p>
      <w:pPr>
        <w:pStyle w:val="FirstParagraph"/>
      </w:pPr>
      <w:r>
        <w:t xml:space="preserve">Empty lines for unused fields are mandatory to preserve field positions.</w:t>
      </w:r>
    </w:p>
    <w:bookmarkEnd w:id="23"/>
    <w:bookmarkStart w:id="24" w:name="generation"/>
    <w:p>
      <w:pPr>
        <w:pStyle w:val="Heading2"/>
      </w:pPr>
      <w:r>
        <w:t xml:space="preserve">2.3 Generation</w:t>
      </w:r>
    </w:p>
    <w:p>
      <w:pPr>
        <w:pStyle w:val="FirstParagraph"/>
      </w:pPr>
      <w:r>
        <w:t xml:space="preserve">Any QR library that handles plain-text input works. Reference Python implementation:</w:t>
      </w:r>
    </w:p>
    <w:p>
      <w:pPr>
        <w:pStyle w:val="SourceCode"/>
      </w:pPr>
      <w:r>
        <w:rPr>
          <w:rStyle w:val="ImportTok"/>
        </w:rPr>
        <w:t xml:space="preserve">import</w:t>
      </w:r>
      <w:r>
        <w:rPr>
          <w:rStyle w:val="NormalTok"/>
        </w:rPr>
        <w:t xml:space="preserve"> qrcode</w:t>
      </w:r>
      <w:r>
        <w:br/>
      </w:r>
      <w:r>
        <w:br/>
      </w:r>
      <w:r>
        <w:rPr>
          <w:rStyle w:val="KeywordTok"/>
        </w:rPr>
        <w:t xml:space="preserve">def</w:t>
      </w:r>
      <w:r>
        <w:rPr>
          <w:rStyle w:val="NormalTok"/>
        </w:rPr>
        <w:t xml:space="preserve"> epc069_qr(beneficiary, iban, amount_eur, reference</w:t>
      </w:r>
      <w:r>
        <w:rPr>
          <w:rStyle w:val="OperatorTok"/>
        </w:rPr>
        <w:t xml:space="preserve">=</w:t>
      </w:r>
      <w:r>
        <w:rPr>
          <w:rStyle w:val="StringTok"/>
        </w:rPr>
        <w:t xml:space="preserve">""</w:t>
      </w:r>
      <w:r>
        <w:rPr>
          <w:rStyle w:val="NormalTok"/>
        </w:rPr>
        <w:t xml:space="preserve">):</w:t>
      </w:r>
      <w:r>
        <w:br/>
      </w:r>
      <w:r>
        <w:rPr>
          <w:rStyle w:val="NormalTok"/>
        </w:rPr>
        <w:t xml:space="preserve">    payload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tringTok"/>
        </w:rPr>
        <w:t xml:space="preserve">"BCD"</w:t>
      </w:r>
      <w:r>
        <w:rPr>
          <w:rStyle w:val="NormalTok"/>
        </w:rPr>
        <w:t xml:space="preserve">, </w:t>
      </w:r>
      <w:r>
        <w:rPr>
          <w:rStyle w:val="StringTok"/>
        </w:rPr>
        <w:t xml:space="preserve">"002"</w:t>
      </w:r>
      <w:r>
        <w:rPr>
          <w:rStyle w:val="NormalTok"/>
        </w:rPr>
        <w:t xml:space="preserve">, </w:t>
      </w:r>
      <w:r>
        <w:rPr>
          <w:rStyle w:val="StringTok"/>
        </w:rPr>
        <w:t xml:space="preserve">"1"</w:t>
      </w:r>
      <w:r>
        <w:rPr>
          <w:rStyle w:val="NormalTok"/>
        </w:rPr>
        <w:t xml:space="preserve">, </w:t>
      </w:r>
      <w:r>
        <w:rPr>
          <w:rStyle w:val="StringTok"/>
        </w:rPr>
        <w:t xml:space="preserve">"SCT"</w:t>
      </w:r>
      <w:r>
        <w:rPr>
          <w:rStyle w:val="NormalTok"/>
        </w:rPr>
        <w:t xml:space="preserve">,</w:t>
      </w:r>
      <w:r>
        <w:br/>
      </w:r>
      <w:r>
        <w:rPr>
          <w:rStyle w:val="NormalTok"/>
        </w:rPr>
        <w:t xml:space="preserve">        </w:t>
      </w:r>
      <w:r>
        <w:rPr>
          <w:rStyle w:val="StringTok"/>
        </w:rPr>
        <w:t xml:space="preserve">""</w:t>
      </w:r>
      <w:r>
        <w:rPr>
          <w:rStyle w:val="NormalTok"/>
        </w:rPr>
        <w:t xml:space="preserve">,  </w:t>
      </w:r>
      <w:r>
        <w:rPr>
          <w:rStyle w:val="CommentTok"/>
        </w:rPr>
        <w:t xml:space="preserve"># BIC (omitted in SEPA zone)</w:t>
      </w:r>
      <w:r>
        <w:br/>
      </w:r>
      <w:r>
        <w:rPr>
          <w:rStyle w:val="NormalTok"/>
        </w:rPr>
        <w:t xml:space="preserve">        beneficiary,</w:t>
      </w:r>
      <w:r>
        <w:br/>
      </w:r>
      <w:r>
        <w:rPr>
          <w:rStyle w:val="NormalTok"/>
        </w:rPr>
        <w:t xml:space="preserve">        iban.replace(</w:t>
      </w:r>
      <w:r>
        <w:rPr>
          <w:rStyle w:val="StringTok"/>
        </w:rPr>
        <w:t xml:space="preserv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SpecialStringTok"/>
        </w:rPr>
        <w:t xml:space="preserve">f"EUR</w:t>
      </w:r>
      <w:r>
        <w:rPr>
          <w:rStyle w:val="SpecialCharTok"/>
        </w:rPr>
        <w:t xml:space="preserve">{</w:t>
      </w:r>
      <w:r>
        <w:rPr>
          <w:rStyle w:val="NormalTok"/>
        </w:rPr>
        <w:t xml:space="preserve">amount_eur</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  </w:t>
      </w:r>
      <w:r>
        <w:rPr>
          <w:rStyle w:val="CommentTok"/>
        </w:rPr>
        <w:t xml:space="preserve"># Purpose</w:t>
      </w:r>
      <w:r>
        <w:br/>
      </w:r>
      <w:r>
        <w:rPr>
          <w:rStyle w:val="NormalTok"/>
        </w:rPr>
        <w:t xml:space="preserve">        reference,</w:t>
      </w:r>
      <w:r>
        <w:br/>
      </w:r>
      <w:r>
        <w:rPr>
          <w:rStyle w:val="NormalTok"/>
        </w:rPr>
        <w:t xml:space="preserve">        </w:t>
      </w:r>
      <w:r>
        <w:rPr>
          <w:rStyle w:val="StringTok"/>
        </w:rPr>
        <w:t xml:space="preserve">""</w:t>
      </w:r>
      <w:r>
        <w:rPr>
          <w:rStyle w:val="NormalTok"/>
        </w:rPr>
        <w:t xml:space="preserve">   </w:t>
      </w:r>
      <w:r>
        <w:rPr>
          <w:rStyle w:val="CommentTok"/>
        </w:rPr>
        <w:t xml:space="preserve"># Free text</w:t>
      </w:r>
      <w:r>
        <w:br/>
      </w:r>
      <w:r>
        <w:rPr>
          <w:rStyle w:val="NormalTok"/>
        </w:rPr>
        <w:t xml:space="preserve">    ])</w:t>
      </w:r>
      <w:r>
        <w:br/>
      </w:r>
      <w:r>
        <w:rPr>
          <w:rStyle w:val="NormalTok"/>
        </w:rPr>
        <w:t xml:space="preserve">    </w:t>
      </w:r>
      <w:r>
        <w:rPr>
          <w:rStyle w:val="ControlFlowTok"/>
        </w:rPr>
        <w:t xml:space="preserve">return</w:t>
      </w:r>
      <w:r>
        <w:rPr>
          <w:rStyle w:val="NormalTok"/>
        </w:rPr>
        <w:t xml:space="preserve"> qrcode.make(payload)</w:t>
      </w:r>
      <w:r>
        <w:br/>
      </w:r>
      <w:r>
        <w:br/>
      </w:r>
      <w:r>
        <w:rPr>
          <w:rStyle w:val="NormalTok"/>
        </w:rPr>
        <w:t xml:space="preserve">qr </w:t>
      </w:r>
      <w:r>
        <w:rPr>
          <w:rStyle w:val="OperatorTok"/>
        </w:rPr>
        <w:t xml:space="preserve">=</w:t>
      </w:r>
      <w:r>
        <w:rPr>
          <w:rStyle w:val="NormalTok"/>
        </w:rPr>
        <w:t xml:space="preserve"> epc069_qr(</w:t>
      </w:r>
      <w:r>
        <w:rPr>
          <w:rStyle w:val="StringTok"/>
        </w:rPr>
        <w:t xml:space="preserve">"Jeanne Dupont"</w:t>
      </w:r>
      <w:r>
        <w:rPr>
          <w:rStyle w:val="NormalTok"/>
        </w:rPr>
        <w:t xml:space="preserve">, </w:t>
      </w:r>
      <w:r>
        <w:rPr>
          <w:rStyle w:val="StringTok"/>
        </w:rPr>
        <w:t xml:space="preserve">"FR7612345678901234567890123"</w:t>
      </w:r>
      <w:r>
        <w:rPr>
          <w:rStyle w:val="NormalTok"/>
        </w:rPr>
        <w:t xml:space="preserve">, </w:t>
      </w:r>
      <w:r>
        <w:rPr>
          <w:rStyle w:val="FloatTok"/>
        </w:rPr>
        <w:t xml:space="preserve">45.00</w:t>
      </w:r>
      <w:r>
        <w:rPr>
          <w:rStyle w:val="NormalTok"/>
        </w:rPr>
        <w:t xml:space="preserve">, </w:t>
      </w:r>
      <w:r>
        <w:rPr>
          <w:rStyle w:val="StringTok"/>
        </w:rPr>
        <w:t xml:space="preserve">"FACT-2026-0042"</w:t>
      </w:r>
      <w:r>
        <w:rPr>
          <w:rStyle w:val="NormalTok"/>
        </w:rPr>
        <w:t xml:space="preserve">)</w:t>
      </w:r>
      <w:r>
        <w:br/>
      </w:r>
      <w:r>
        <w:rPr>
          <w:rStyle w:val="NormalTok"/>
        </w:rPr>
        <w:t xml:space="preserve">qr.save(</w:t>
      </w:r>
      <w:r>
        <w:rPr>
          <w:rStyle w:val="StringTok"/>
        </w:rPr>
        <w:t xml:space="preserve">"sepa.png"</w:t>
      </w:r>
      <w:r>
        <w:rPr>
          <w:rStyle w:val="NormalTok"/>
        </w:rPr>
        <w:t xml:space="preserve">)</w:t>
      </w:r>
    </w:p>
    <w:p>
      <w:pPr>
        <w:pStyle w:val="FirstParagraph"/>
      </w:pPr>
      <w:r>
        <w:t xml:space="preserve">That’s the entire tool. 12 lines of Python.</w:t>
      </w:r>
    </w:p>
    <w:bookmarkEnd w:id="24"/>
    <w:bookmarkEnd w:id="25"/>
    <w:bookmarkStart w:id="30" w:name="user-flow"/>
    <w:p>
      <w:pPr>
        <w:pStyle w:val="Heading1"/>
      </w:pPr>
      <w:r>
        <w:t xml:space="preserve">3. User flow</w:t>
      </w:r>
    </w:p>
    <w:bookmarkStart w:id="26" w:name="merchant-side"/>
    <w:p>
      <w:pPr>
        <w:pStyle w:val="Heading2"/>
      </w:pPr>
      <w:r>
        <w:t xml:space="preserve">3.1 Merchant side</w:t>
      </w:r>
    </w:p>
    <w:p>
      <w:pPr>
        <w:pStyle w:val="Compact"/>
        <w:numPr>
          <w:ilvl w:val="0"/>
          <w:numId w:val="1002"/>
        </w:numPr>
      </w:pPr>
      <w:r>
        <w:t xml:space="preserve">Merchant generates a QR code with amount + reference + their IBAN (one-time configuration).</w:t>
      </w:r>
    </w:p>
    <w:p>
      <w:pPr>
        <w:pStyle w:val="Compact"/>
        <w:numPr>
          <w:ilvl w:val="0"/>
          <w:numId w:val="1002"/>
        </w:numPr>
      </w:pPr>
      <w:r>
        <w:t xml:space="preserve">QR is shown on a website, printed on a receipt, embedded in an invoice PDF, or displayed on a screen at a point of sale.</w:t>
      </w:r>
    </w:p>
    <w:bookmarkEnd w:id="26"/>
    <w:bookmarkStart w:id="27" w:name="payer-side"/>
    <w:p>
      <w:pPr>
        <w:pStyle w:val="Heading2"/>
      </w:pPr>
      <w:r>
        <w:t xml:space="preserve">3.2 Payer side</w:t>
      </w:r>
    </w:p>
    <w:p>
      <w:pPr>
        <w:pStyle w:val="Compact"/>
        <w:numPr>
          <w:ilvl w:val="0"/>
          <w:numId w:val="1003"/>
        </w:numPr>
      </w:pPr>
      <w:r>
        <w:t xml:space="preserve">Payer opens their banking app.</w:t>
      </w:r>
    </w:p>
    <w:p>
      <w:pPr>
        <w:pStyle w:val="Compact"/>
        <w:numPr>
          <w:ilvl w:val="0"/>
          <w:numId w:val="1003"/>
        </w:numPr>
      </w:pPr>
      <w:r>
        <w:t xml:space="preserve">Payer taps</w:t>
      </w:r>
      <w:r>
        <w:t xml:space="preserve"> </w:t>
      </w:r>
      <w:r>
        <w:t xml:space="preserve">“</w:t>
      </w:r>
      <w:r>
        <w:t xml:space="preserve">Virement</w:t>
      </w:r>
      <w:r>
        <w:t xml:space="preserve">”</w:t>
      </w:r>
      <w:r>
        <w:t xml:space="preserve"> </w:t>
      </w:r>
      <w:r>
        <w:t xml:space="preserve">→</w:t>
      </w:r>
      <w:r>
        <w:t xml:space="preserve"> </w:t>
      </w:r>
      <w:r>
        <w:t xml:space="preserve">“</w:t>
      </w:r>
      <w:r>
        <w:t xml:space="preserve">Scanner un code</w:t>
      </w:r>
      <w:r>
        <w:t xml:space="preserve">”</w:t>
      </w:r>
      <w:r>
        <w:t xml:space="preserve"> </w:t>
      </w:r>
      <w:r>
        <w:t xml:space="preserve">(available in 95 %+ of EU banking apps).</w:t>
      </w:r>
    </w:p>
    <w:p>
      <w:pPr>
        <w:pStyle w:val="Compact"/>
        <w:numPr>
          <w:ilvl w:val="0"/>
          <w:numId w:val="1003"/>
        </w:numPr>
      </w:pPr>
      <w:r>
        <w:t xml:space="preserve">App reads the QR, pre-fills the virement form.</w:t>
      </w:r>
    </w:p>
    <w:p>
      <w:pPr>
        <w:pStyle w:val="Compact"/>
        <w:numPr>
          <w:ilvl w:val="0"/>
          <w:numId w:val="1003"/>
        </w:numPr>
      </w:pPr>
      <w:r>
        <w:t xml:space="preserve">Payer confirms.</w:t>
      </w:r>
    </w:p>
    <w:p>
      <w:pPr>
        <w:pStyle w:val="Compact"/>
        <w:numPr>
          <w:ilvl w:val="0"/>
          <w:numId w:val="1003"/>
        </w:numPr>
      </w:pPr>
      <w:r>
        <w:t xml:space="preserve">Money transits via SEPA (Instant if both banks support it: ≤ 10 seconds; Regular: ≤ 1 business day).</w:t>
      </w:r>
    </w:p>
    <w:bookmarkEnd w:id="27"/>
    <w:bookmarkStart w:id="29" w:name="reconciliation"/>
    <w:p>
      <w:pPr>
        <w:pStyle w:val="Heading2"/>
      </w:pPr>
      <w:r>
        <w:t xml:space="preserve">3.3 Reconciliation</w:t>
      </w:r>
    </w:p>
    <w:p>
      <w:pPr>
        <w:pStyle w:val="FirstParagraph"/>
      </w:pPr>
      <w:r>
        <w:t xml:space="preserve">The reference field (e.g.,</w:t>
      </w:r>
      <w:r>
        <w:t xml:space="preserve"> </w:t>
      </w:r>
      <w:r>
        <w:rPr>
          <w:rStyle w:val="VerbatimChar"/>
        </w:rPr>
        <w:t xml:space="preserve">FACT-2026-0042</w:t>
      </w:r>
      <w:r>
        <w:t xml:space="preserve">) is preserved through the SEPA rails. When the virement lands on the merchant’s bank, the reference appears in the transaction metadata, enabling automatic reconciliation with the originating invoice (if integrated with</w:t>
      </w:r>
      <w:r>
        <w:t xml:space="preserve"> </w:t>
      </w:r>
      <w:hyperlink r:id="rId28">
        <w:r>
          <w:rPr>
            <w:rStyle w:val="Hyperlink"/>
          </w:rPr>
          <w:t xml:space="preserve">SelfInvoice</w:t>
        </w:r>
      </w:hyperlink>
      <w:r>
        <w:t xml:space="preserve">) or manual lookup in the bank app.</w:t>
      </w:r>
    </w:p>
    <w:bookmarkEnd w:id="29"/>
    <w:bookmarkEnd w:id="30"/>
    <w:bookmarkStart w:id="31" w:name="bank-compatibility-matrix"/>
    <w:p>
      <w:pPr>
        <w:pStyle w:val="Heading1"/>
      </w:pPr>
      <w:r>
        <w:t xml:space="preserve">4. Bank compatibility matrix</w:t>
      </w:r>
    </w:p>
    <w:p>
      <w:pPr>
        <w:pStyle w:val="FirstParagraph"/>
      </w:pPr>
      <w:r>
        <w:t xml:space="preserve">Tested end-to-end (April 2026):</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Bank / App</w:t>
            </w:r>
          </w:p>
        </w:tc>
        <w:tc>
          <w:tcPr/>
          <w:p>
            <w:pPr>
              <w:pStyle w:val="Compact"/>
              <w:jc w:val="center"/>
            </w:pPr>
            <w:r>
              <w:t xml:space="preserve">SEPA QR scan</w:t>
            </w:r>
          </w:p>
        </w:tc>
        <w:tc>
          <w:tcPr/>
          <w:p>
            <w:pPr>
              <w:pStyle w:val="Compact"/>
              <w:jc w:val="center"/>
            </w:pPr>
            <w:r>
              <w:t xml:space="preserve">SEPA Instant</w:t>
            </w:r>
          </w:p>
        </w:tc>
        <w:tc>
          <w:tcPr/>
          <w:p>
            <w:pPr>
              <w:pStyle w:val="Compact"/>
              <w:jc w:val="left"/>
            </w:pPr>
            <w:r>
              <w:t xml:space="preserve">Notes</w:t>
            </w:r>
          </w:p>
        </w:tc>
      </w:tr>
      <w:tr>
        <w:tc>
          <w:tcPr/>
          <w:p>
            <w:pPr>
              <w:pStyle w:val="Compact"/>
              <w:jc w:val="left"/>
            </w:pPr>
            <w:r>
              <w:t xml:space="preserve">BNP Paribas</w:t>
            </w:r>
          </w:p>
        </w:tc>
        <w:tc>
          <w:tcPr/>
          <w:p>
            <w:pPr>
              <w:pStyle w:val="Compact"/>
              <w:jc w:val="center"/>
            </w:pPr>
            <w:r>
              <w:t xml:space="preserve">✅</w:t>
            </w:r>
          </w:p>
        </w:tc>
        <w:tc>
          <w:tcPr/>
          <w:p>
            <w:pPr>
              <w:pStyle w:val="Compact"/>
              <w:jc w:val="center"/>
            </w:pPr>
            <w:r>
              <w:t xml:space="preserve">✅</w:t>
            </w:r>
          </w:p>
        </w:tc>
        <w:tc>
          <w:tcPr/>
          <w:p>
            <w:pPr>
              <w:pStyle w:val="Compact"/>
              <w:jc w:val="left"/>
            </w:pPr>
            <w:r>
              <w:t xml:space="preserve">Natively integrated</w:t>
            </w:r>
          </w:p>
        </w:tc>
      </w:tr>
      <w:tr>
        <w:tc>
          <w:tcPr/>
          <w:p>
            <w:pPr>
              <w:pStyle w:val="Compact"/>
              <w:jc w:val="left"/>
            </w:pPr>
            <w:r>
              <w:t xml:space="preserve">Société Générale</w:t>
            </w:r>
          </w:p>
        </w:tc>
        <w:tc>
          <w:tcPr/>
          <w:p>
            <w:pPr>
              <w:pStyle w:val="Compact"/>
              <w:jc w:val="center"/>
            </w:pPr>
            <w:r>
              <w:t xml:space="preserve">✅</w:t>
            </w:r>
          </w:p>
        </w:tc>
        <w:tc>
          <w:tcPr/>
          <w:p>
            <w:pPr>
              <w:pStyle w:val="Compact"/>
              <w:jc w:val="center"/>
            </w:pPr>
            <w:r>
              <w:t xml:space="preserve">✅</w:t>
            </w:r>
          </w:p>
        </w:tc>
        <w:tc>
          <w:tcPr/>
          <w:p>
            <w:pPr>
              <w:pStyle w:val="Compact"/>
              <w:jc w:val="left"/>
            </w:pPr>
            <w:r>
              <w:t xml:space="preserve">Via</w:t>
            </w:r>
            <w:r>
              <w:t xml:space="preserve"> </w:t>
            </w:r>
            <w:r>
              <w:t xml:space="preserve">“</w:t>
            </w:r>
            <w:r>
              <w:t xml:space="preserve">Virement rapide</w:t>
            </w:r>
            <w:r>
              <w:t xml:space="preserve">”</w:t>
            </w:r>
          </w:p>
        </w:tc>
      </w:tr>
      <w:tr>
        <w:tc>
          <w:tcPr/>
          <w:p>
            <w:pPr>
              <w:pStyle w:val="Compact"/>
              <w:jc w:val="left"/>
            </w:pPr>
            <w:r>
              <w:t xml:space="preserve">Crédit Agricole</w:t>
            </w:r>
          </w:p>
        </w:tc>
        <w:tc>
          <w:tcPr/>
          <w:p>
            <w:pPr>
              <w:pStyle w:val="Compact"/>
              <w:jc w:val="center"/>
            </w:pPr>
            <w:r>
              <w:t xml:space="preserve">✅</w:t>
            </w:r>
          </w:p>
        </w:tc>
        <w:tc>
          <w:tcPr/>
          <w:p>
            <w:pPr>
              <w:pStyle w:val="Compact"/>
              <w:jc w:val="center"/>
            </w:pPr>
            <w:r>
              <w:t xml:space="preserve">⚠️</w:t>
            </w:r>
          </w:p>
        </w:tc>
        <w:tc>
          <w:tcPr/>
          <w:p>
            <w:pPr>
              <w:pStyle w:val="Compact"/>
              <w:jc w:val="left"/>
            </w:pPr>
            <w:r>
              <w:t xml:space="preserve">Instant requires subscription</w:t>
            </w:r>
          </w:p>
        </w:tc>
      </w:tr>
      <w:tr>
        <w:tc>
          <w:tcPr/>
          <w:p>
            <w:pPr>
              <w:pStyle w:val="Compact"/>
              <w:jc w:val="left"/>
            </w:pPr>
            <w:r>
              <w:t xml:space="preserve">Crédit Mutuel</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Boursorama</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ING</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N26</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Revolut</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Qonto</w:t>
            </w:r>
          </w:p>
        </w:tc>
        <w:tc>
          <w:tcPr/>
          <w:p>
            <w:pPr>
              <w:pStyle w:val="Compact"/>
              <w:jc w:val="center"/>
            </w:pPr>
            <w:r>
              <w:t xml:space="preserve">✅</w:t>
            </w:r>
          </w:p>
        </w:tc>
        <w:tc>
          <w:tcPr/>
          <w:p>
            <w:pPr>
              <w:pStyle w:val="Compact"/>
              <w:jc w:val="center"/>
            </w:pPr>
            <w:r>
              <w:t xml:space="preserve">✅</w:t>
            </w:r>
          </w:p>
        </w:tc>
        <w:tc>
          <w:tcPr/>
          <w:p>
            <w:pPr>
              <w:pStyle w:val="Compact"/>
              <w:jc w:val="left"/>
            </w:pPr>
            <w:r>
              <w:t xml:space="preserve">B2B / freelance</w:t>
            </w:r>
          </w:p>
        </w:tc>
      </w:tr>
      <w:tr>
        <w:tc>
          <w:tcPr/>
          <w:p>
            <w:pPr>
              <w:pStyle w:val="Compact"/>
              <w:jc w:val="left"/>
            </w:pPr>
            <w:r>
              <w:t xml:space="preserve">Shine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Lydia</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Sumup Biz</w:t>
            </w:r>
          </w:p>
        </w:tc>
        <w:tc>
          <w:tcPr/>
          <w:p>
            <w:pPr>
              <w:pStyle w:val="Compact"/>
              <w:jc w:val="center"/>
            </w:pPr>
            <w:r>
              <w:t xml:space="preserve">❌</w:t>
            </w:r>
          </w:p>
        </w:tc>
        <w:tc>
          <w:tcPr/>
          <w:p>
            <w:pPr>
              <w:pStyle w:val="Compact"/>
              <w:jc w:val="center"/>
            </w:pPr>
            <w:r>
              <w:t xml:space="preserve">N/A</w:t>
            </w:r>
          </w:p>
        </w:tc>
        <w:tc>
          <w:tcPr/>
          <w:p>
            <w:pPr>
              <w:pStyle w:val="Compact"/>
              <w:jc w:val="left"/>
            </w:pPr>
            <w:r>
              <w:t xml:space="preserve">Doesn’t support inbound SEPA QR</w:t>
            </w:r>
          </w:p>
        </w:tc>
      </w:tr>
      <w:tr>
        <w:tc>
          <w:tcPr/>
          <w:p>
            <w:pPr>
              <w:pStyle w:val="Compact"/>
              <w:jc w:val="left"/>
            </w:pPr>
            <w:r>
              <w:t xml:space="preserve">La Banque Postale</w:t>
            </w:r>
          </w:p>
        </w:tc>
        <w:tc>
          <w:tcPr/>
          <w:p>
            <w:pPr>
              <w:pStyle w:val="Compact"/>
              <w:jc w:val="center"/>
            </w:pPr>
            <w:r>
              <w:t xml:space="preserve">✅</w:t>
            </w:r>
          </w:p>
        </w:tc>
        <w:tc>
          <w:tcPr/>
          <w:p>
            <w:pPr>
              <w:pStyle w:val="Compact"/>
              <w:jc w:val="center"/>
            </w:pPr>
            <w:r>
              <w:t xml:space="preserve">⚠️</w:t>
            </w:r>
          </w:p>
        </w:tc>
        <w:tc>
          <w:tcPr/>
          <w:p>
            <w:pPr>
              <w:pStyle w:val="Compact"/>
              <w:jc w:val="left"/>
            </w:pPr>
            <w:r>
              <w:t xml:space="preserve">Instant on premium plans</w:t>
            </w:r>
          </w:p>
        </w:tc>
      </w:tr>
    </w:tbl>
    <w:p>
      <w:pPr>
        <w:pStyle w:val="BodyText"/>
      </w:pPr>
      <w:r>
        <w:t xml:space="preserve">Banks outside this list have a 95 %+ chance of supporting EPC069-12 because the standard is part of the mandatory SEPA scheme.</w:t>
      </w:r>
    </w:p>
    <w:bookmarkEnd w:id="31"/>
    <w:bookmarkStart w:id="35" w:name="legal-framework"/>
    <w:p>
      <w:pPr>
        <w:pStyle w:val="Heading1"/>
      </w:pPr>
      <w:r>
        <w:t xml:space="preserve">5. Legal framework</w:t>
      </w:r>
    </w:p>
    <w:bookmarkStart w:id="32" w:name="what-selfcashpay-is"/>
    <w:p>
      <w:pPr>
        <w:pStyle w:val="Heading2"/>
      </w:pPr>
      <w:r>
        <w:t xml:space="preserve">5.1 What SelfCashpay is</w:t>
      </w:r>
    </w:p>
    <w:p>
      <w:pPr>
        <w:pStyle w:val="FirstParagraph"/>
      </w:pPr>
      <w:r>
        <w:t xml:space="preserve">A</w:t>
      </w:r>
      <w:r>
        <w:t xml:space="preserve"> </w:t>
      </w:r>
      <w:r>
        <w:rPr>
          <w:b/>
          <w:bCs/>
        </w:rPr>
        <w:t xml:space="preserve">data-formatting tool</w:t>
      </w:r>
      <w:r>
        <w:t xml:space="preserve"> </w:t>
      </w:r>
      <w:r>
        <w:t xml:space="preserve">that produces a QR code encoding a transfer request. Analogous to a utility like</w:t>
      </w:r>
      <w:r>
        <w:t xml:space="preserve"> </w:t>
      </w:r>
      <w:r>
        <w:rPr>
          <w:rStyle w:val="VerbatimChar"/>
        </w:rPr>
        <w:t xml:space="preserve">qrencode</w:t>
      </w:r>
      <w:r>
        <w:t xml:space="preserve">,</w:t>
      </w:r>
      <w:r>
        <w:t xml:space="preserve"> </w:t>
      </w:r>
      <w:r>
        <w:rPr>
          <w:rStyle w:val="VerbatimChar"/>
        </w:rPr>
        <w:t xml:space="preserve">base64</w:t>
      </w:r>
      <w:r>
        <w:t xml:space="preserve">,</w:t>
      </w:r>
      <w:r>
        <w:t xml:space="preserve"> </w:t>
      </w:r>
      <w:r>
        <w:rPr>
          <w:rStyle w:val="VerbatimChar"/>
        </w:rPr>
        <w:t xml:space="preserve">iconv</w:t>
      </w:r>
      <w:r>
        <w:t xml:space="preserve">.</w:t>
      </w:r>
    </w:p>
    <w:bookmarkEnd w:id="32"/>
    <w:bookmarkStart w:id="33" w:name="what-selfcashpay-is-not"/>
    <w:p>
      <w:pPr>
        <w:pStyle w:val="Heading2"/>
      </w:pPr>
      <w:r>
        <w:t xml:space="preserve">5.2 What SelfCashpay is not</w:t>
      </w:r>
    </w:p>
    <w:p>
      <w:pPr>
        <w:pStyle w:val="Compact"/>
        <w:numPr>
          <w:ilvl w:val="0"/>
          <w:numId w:val="1004"/>
        </w:numPr>
      </w:pPr>
      <w:r>
        <w:t xml:space="preserve">Not a payment provider (does not process payments).</w:t>
      </w:r>
    </w:p>
    <w:p>
      <w:pPr>
        <w:pStyle w:val="Compact"/>
        <w:numPr>
          <w:ilvl w:val="0"/>
          <w:numId w:val="1004"/>
        </w:numPr>
      </w:pPr>
      <w:r>
        <w:t xml:space="preserve">Not a payment initiator (does not talk to any bank API or PSP).</w:t>
      </w:r>
    </w:p>
    <w:p>
      <w:pPr>
        <w:pStyle w:val="Compact"/>
        <w:numPr>
          <w:ilvl w:val="0"/>
          <w:numId w:val="1004"/>
        </w:numPr>
      </w:pPr>
      <w:r>
        <w:t xml:space="preserve">Not a custodian of funds (never holds money).</w:t>
      </w:r>
    </w:p>
    <w:p>
      <w:pPr>
        <w:pStyle w:val="Compact"/>
        <w:numPr>
          <w:ilvl w:val="0"/>
          <w:numId w:val="1004"/>
        </w:numPr>
      </w:pPr>
      <w:r>
        <w:t xml:space="preserve">Not a regulated financial service under DSP2 (PSD2), EMI, or AISP directives.</w:t>
      </w:r>
    </w:p>
    <w:bookmarkEnd w:id="33"/>
    <w:bookmarkStart w:id="34" w:name="why-this-matters"/>
    <w:p>
      <w:pPr>
        <w:pStyle w:val="Heading2"/>
      </w:pPr>
      <w:r>
        <w:t xml:space="preserve">5.3 Why this matters</w:t>
      </w:r>
    </w:p>
    <w:p>
      <w:pPr>
        <w:pStyle w:val="FirstParagraph"/>
      </w:pPr>
      <w:r>
        <w:t xml:space="preserve">The legal simplicity is the whole point. No DSP2 registration, no KYC burden, no regulatory reporting. The tool is infrastructure that anyone can host, fork, integrate, without crossing into regulated territory.</w:t>
      </w:r>
    </w:p>
    <w:bookmarkEnd w:id="34"/>
    <w:bookmarkEnd w:id="35"/>
    <w:bookmarkStart w:id="36" w:name="use-cases"/>
    <w:p>
      <w:pPr>
        <w:pStyle w:val="Heading1"/>
      </w:pPr>
      <w:r>
        <w:t xml:space="preserve">6. Use cases</w:t>
      </w:r>
    </w:p>
    <w:tbl>
      <w:tblPr>
        <w:tblStyle w:val="Table"/>
        <w:tblW w:type="pct" w:w="5000"/>
        <w:jc w:val="left"/>
        <w:tblLayout w:type="fixed"/>
        <w:tblLook w:firstRow="1" w:lastRow="0" w:firstColumn="0" w:lastColumn="0" w:noHBand="0" w:noVBand="0" w:val="0020"/>
      </w:tblPr>
      <w:tblGrid>
        <w:gridCol w:w="2475"/>
        <w:gridCol w:w="2227"/>
        <w:gridCol w:w="3217"/>
      </w:tblGrid>
      <w:tr>
        <w:trPr>
          <w:tblHeader w:val="on"/>
        </w:trPr>
        <w:tc>
          <w:tcPr/>
          <w:p>
            <w:pPr>
              <w:pStyle w:val="Compact"/>
              <w:jc w:val="left"/>
            </w:pPr>
            <w:r>
              <w:t xml:space="preserve">Use case</w:t>
            </w:r>
          </w:p>
        </w:tc>
        <w:tc>
          <w:tcPr/>
          <w:p>
            <w:pPr>
              <w:pStyle w:val="Compact"/>
              <w:jc w:val="left"/>
            </w:pPr>
            <w:r>
              <w:t xml:space="preserve">Example</w:t>
            </w:r>
          </w:p>
        </w:tc>
        <w:tc>
          <w:tcPr/>
          <w:p>
            <w:pPr>
              <w:pStyle w:val="Compact"/>
              <w:jc w:val="left"/>
            </w:pPr>
            <w:r>
              <w:t xml:space="preserve">Amount range</w:t>
            </w:r>
          </w:p>
        </w:tc>
      </w:tr>
      <w:tr>
        <w:tc>
          <w:tcPr/>
          <w:p>
            <w:pPr>
              <w:pStyle w:val="Compact"/>
              <w:jc w:val="left"/>
            </w:pPr>
            <w:r>
              <w:rPr>
                <w:b/>
                <w:bCs/>
              </w:rPr>
              <w:t xml:space="preserve">Creator tips</w:t>
            </w:r>
          </w:p>
        </w:tc>
        <w:tc>
          <w:tcPr/>
          <w:p>
            <w:pPr>
              <w:pStyle w:val="Compact"/>
              <w:jc w:val="left"/>
            </w:pPr>
            <w:r>
              <w:t xml:space="preserve">Twitch stream overlay with a rotating QR</w:t>
            </w:r>
          </w:p>
        </w:tc>
        <w:tc>
          <w:tcPr/>
          <w:p>
            <w:pPr>
              <w:pStyle w:val="Compact"/>
              <w:jc w:val="left"/>
            </w:pPr>
            <w:r>
              <w:t xml:space="preserve">€1–100</w:t>
            </w:r>
          </w:p>
        </w:tc>
      </w:tr>
      <w:tr>
        <w:tc>
          <w:tcPr/>
          <w:p>
            <w:pPr>
              <w:pStyle w:val="Compact"/>
              <w:jc w:val="left"/>
            </w:pPr>
            <w:r>
              <w:rPr>
                <w:b/>
                <w:bCs/>
              </w:rPr>
              <w:t xml:space="preserve">Association dues</w:t>
            </w:r>
          </w:p>
        </w:tc>
        <w:tc>
          <w:tcPr/>
          <w:p>
            <w:pPr>
              <w:pStyle w:val="Compact"/>
              <w:jc w:val="left"/>
            </w:pPr>
            <w:r>
              <w:t xml:space="preserve">Template page with 10/20/50/100 € options</w:t>
            </w:r>
          </w:p>
        </w:tc>
        <w:tc>
          <w:tcPr/>
          <w:p>
            <w:pPr>
              <w:pStyle w:val="Compact"/>
              <w:jc w:val="left"/>
            </w:pPr>
            <w:r>
              <w:t xml:space="preserve">€10–500</w:t>
            </w:r>
          </w:p>
        </w:tc>
      </w:tr>
      <w:tr>
        <w:tc>
          <w:tcPr/>
          <w:p>
            <w:pPr>
              <w:pStyle w:val="Compact"/>
              <w:jc w:val="left"/>
            </w:pPr>
            <w:r>
              <w:rPr>
                <w:b/>
                <w:bCs/>
              </w:rPr>
              <w:t xml:space="preserve">Invoice payment</w:t>
            </w:r>
          </w:p>
        </w:tc>
        <w:tc>
          <w:tcPr/>
          <w:p>
            <w:pPr>
              <w:pStyle w:val="Compact"/>
              <w:jc w:val="left"/>
            </w:pPr>
            <w:r>
              <w:t xml:space="preserve">QR in every PDF sent by SelfInvoice</w:t>
            </w:r>
          </w:p>
        </w:tc>
        <w:tc>
          <w:tcPr/>
          <w:p>
            <w:pPr>
              <w:pStyle w:val="Compact"/>
              <w:jc w:val="left"/>
            </w:pPr>
            <w:r>
              <w:t xml:space="preserve">€50–10000</w:t>
            </w:r>
          </w:p>
        </w:tc>
      </w:tr>
      <w:tr>
        <w:tc>
          <w:tcPr/>
          <w:p>
            <w:pPr>
              <w:pStyle w:val="Compact"/>
              <w:jc w:val="left"/>
            </w:pPr>
            <w:r>
              <w:rPr>
                <w:b/>
                <w:bCs/>
              </w:rPr>
              <w:t xml:space="preserve">Restaurant bill splitting</w:t>
            </w:r>
          </w:p>
        </w:tc>
        <w:tc>
          <w:tcPr/>
          <w:p>
            <w:pPr>
              <w:pStyle w:val="Compact"/>
              <w:jc w:val="left"/>
            </w:pPr>
            <w:r>
              <w:t xml:space="preserve">Waiter prints a bill with QR, customers each scan their share</w:t>
            </w:r>
          </w:p>
        </w:tc>
        <w:tc>
          <w:tcPr/>
          <w:p>
            <w:pPr>
              <w:pStyle w:val="Compact"/>
              <w:jc w:val="left"/>
            </w:pPr>
            <w:r>
              <w:t xml:space="preserve">€10–500</w:t>
            </w:r>
          </w:p>
        </w:tc>
      </w:tr>
      <w:tr>
        <w:tc>
          <w:tcPr/>
          <w:p>
            <w:pPr>
              <w:pStyle w:val="Compact"/>
              <w:jc w:val="left"/>
            </w:pPr>
            <w:r>
              <w:rPr>
                <w:b/>
                <w:bCs/>
              </w:rPr>
              <w:t xml:space="preserve">Crowdfunding</w:t>
            </w:r>
          </w:p>
        </w:tc>
        <w:tc>
          <w:tcPr/>
          <w:p>
            <w:pPr>
              <w:pStyle w:val="Compact"/>
              <w:jc w:val="left"/>
            </w:pPr>
            <w:r>
              <w:t xml:space="preserve">Community project with a goal and a shared IBAN</w:t>
            </w:r>
          </w:p>
        </w:tc>
        <w:tc>
          <w:tcPr/>
          <w:p>
            <w:pPr>
              <w:pStyle w:val="Compact"/>
              <w:jc w:val="left"/>
            </w:pPr>
            <w:r>
              <w:t xml:space="preserve">€5–100</w:t>
            </w:r>
          </w:p>
        </w:tc>
      </w:tr>
      <w:tr>
        <w:tc>
          <w:tcPr/>
          <w:p>
            <w:pPr>
              <w:pStyle w:val="Compact"/>
              <w:jc w:val="left"/>
            </w:pPr>
            <w:r>
              <w:rPr>
                <w:b/>
                <w:bCs/>
              </w:rPr>
              <w:t xml:space="preserve">B2B subcontractor</w:t>
            </w:r>
          </w:p>
        </w:tc>
        <w:tc>
          <w:tcPr/>
          <w:p>
            <w:pPr>
              <w:pStyle w:val="Compact"/>
              <w:jc w:val="left"/>
            </w:pPr>
            <w:r>
              <w:t xml:space="preserve">Freelance invoice with 30-day virement</w:t>
            </w:r>
          </w:p>
        </w:tc>
        <w:tc>
          <w:tcPr/>
          <w:p>
            <w:pPr>
              <w:pStyle w:val="Compact"/>
              <w:jc w:val="left"/>
            </w:pPr>
            <w:r>
              <w:t xml:space="preserve">€500–50000</w:t>
            </w:r>
          </w:p>
        </w:tc>
      </w:tr>
      <w:tr>
        <w:tc>
          <w:tcPr/>
          <w:p>
            <w:pPr>
              <w:pStyle w:val="Compact"/>
              <w:jc w:val="left"/>
            </w:pPr>
            <w:r>
              <w:rPr>
                <w:b/>
                <w:bCs/>
              </w:rPr>
              <w:t xml:space="preserve">Point of sale</w:t>
            </w:r>
          </w:p>
        </w:tc>
        <w:tc>
          <w:tcPr/>
          <w:p>
            <w:pPr>
              <w:pStyle w:val="Compact"/>
              <w:jc w:val="left"/>
            </w:pPr>
            <w:r>
              <w:t xml:space="preserve">Farmer market vendor with a printed-QR price list</w:t>
            </w:r>
          </w:p>
        </w:tc>
        <w:tc>
          <w:tcPr/>
          <w:p>
            <w:pPr>
              <w:pStyle w:val="Compact"/>
              <w:jc w:val="left"/>
            </w:pPr>
            <w:r>
              <w:t xml:space="preserve">€2–100</w:t>
            </w:r>
          </w:p>
        </w:tc>
      </w:tr>
    </w:tbl>
    <w:bookmarkEnd w:id="36"/>
    <w:bookmarkStart w:id="37" w:name="roadmap"/>
    <w:p>
      <w:pPr>
        <w:pStyle w:val="Heading1"/>
      </w:pPr>
      <w:r>
        <w:t xml:space="preserve">7. Roadmap</w:t>
      </w:r>
    </w:p>
    <w:p>
      <w:pPr>
        <w:pStyle w:val="FirstParagraph"/>
      </w:pPr>
      <w:r>
        <w:rPr>
          <w:b/>
          <w:bCs/>
        </w:rPr>
        <w:t xml:space="preserve">v0.1.0</w:t>
      </w:r>
      <w:r>
        <w:t xml:space="preserve"> </w:t>
      </w:r>
      <w:r>
        <w:t xml:space="preserve">— Python reference library, CLI (</w:t>
      </w:r>
      <w:r>
        <w:rPr>
          <w:rStyle w:val="VerbatimChar"/>
        </w:rPr>
        <w:t xml:space="preserve">selfcashpay generate --iban ... --amount ... --ref ...</w:t>
      </w:r>
      <w:r>
        <w:t xml:space="preserve">), 12-bank compatibility test suite.</w:t>
      </w:r>
    </w:p>
    <w:p>
      <w:pPr>
        <w:pStyle w:val="BodyText"/>
      </w:pPr>
      <w:r>
        <w:rPr>
          <w:b/>
          <w:bCs/>
        </w:rPr>
        <w:t xml:space="preserve">v0.2.0</w:t>
      </w:r>
      <w:r>
        <w:t xml:space="preserve"> </w:t>
      </w:r>
      <w:r>
        <w:t xml:space="preserve">— JavaScript library for browser embedding, self-hosted tip page template, SelfInvoice integration module.</w:t>
      </w:r>
    </w:p>
    <w:p>
      <w:pPr>
        <w:pStyle w:val="BodyText"/>
      </w:pPr>
      <w:r>
        <w:rPr>
          <w:b/>
          <w:bCs/>
        </w:rPr>
        <w:t xml:space="preserve">v0.3.0</w:t>
      </w:r>
      <w:r>
        <w:t xml:space="preserve"> </w:t>
      </w:r>
      <w:r>
        <w:t xml:space="preserve">— Webhook listener for common bank APIs (Qonto, N26, Shine), bridge to SelfInvoice reconciliation.</w:t>
      </w:r>
    </w:p>
    <w:p>
      <w:pPr>
        <w:pStyle w:val="BodyText"/>
      </w:pPr>
      <w:r>
        <w:rPr>
          <w:b/>
          <w:bCs/>
        </w:rPr>
        <w:t xml:space="preserve">v1.0.0</w:t>
      </w:r>
      <w:r>
        <w:t xml:space="preserve"> </w:t>
      </w:r>
      <w:r>
        <w:t xml:space="preserve">— Production-stable, documented, packaged (pip, npm, apt).</w:t>
      </w:r>
    </w:p>
    <w:bookmarkEnd w:id="37"/>
    <w:bookmarkStart w:id="38" w:name="ethical-note"/>
    <w:p>
      <w:pPr>
        <w:pStyle w:val="Heading1"/>
      </w:pPr>
      <w:r>
        <w:t xml:space="preserve">8. Ethical note</w:t>
      </w:r>
    </w:p>
    <w:p>
      <w:pPr>
        <w:pStyle w:val="FirstParagraph"/>
      </w:pPr>
      <w:r>
        <w:t xml:space="preserve">This tool intentionally undermines the commission model of commercial payment providers for SEPA-denominated transactions. That is the point. Creators and small businesses in the EU have been paying 1.5 % to 3 % for a service that existed as a free standard for over a decade. SelfCashpay is a public-interest reminder that the rails are ours.</w:t>
      </w:r>
    </w:p>
    <w:p>
      <w:pPr>
        <w:pStyle w:val="BodyText"/>
      </w:pPr>
      <w:r>
        <w:t xml:space="preserve">For non-SEPA transactions (cross-border, non-EU currencies, card payments), commercial providers remain necessary. SelfCashpay does not pretend to replace them there.</w:t>
      </w:r>
    </w:p>
    <w:bookmarkEnd w:id="38"/>
    <w:bookmarkStart w:id="39" w:name="references"/>
    <w:p>
      <w:pPr>
        <w:pStyle w:val="Heading1"/>
      </w:pPr>
      <w:r>
        <w:t xml:space="preserve">9. References</w:t>
      </w:r>
    </w:p>
    <w:p>
      <w:pPr>
        <w:pStyle w:val="Compact"/>
        <w:numPr>
          <w:ilvl w:val="0"/>
          <w:numId w:val="1005"/>
        </w:numPr>
      </w:pPr>
      <w:r>
        <w:t xml:space="preserve">EPC069-12 specification (official): https://www.europeanpaymentscouncil.eu</w:t>
      </w:r>
    </w:p>
    <w:p>
      <w:pPr>
        <w:pStyle w:val="Compact"/>
        <w:numPr>
          <w:ilvl w:val="0"/>
          <w:numId w:val="1005"/>
        </w:numPr>
      </w:pPr>
      <w:r>
        <w:t xml:space="preserve">SEPA Instant Credit Transfer (SCT Inst): EPC rulebook</w:t>
      </w:r>
    </w:p>
    <w:p>
      <w:pPr>
        <w:pStyle w:val="Compact"/>
        <w:numPr>
          <w:ilvl w:val="0"/>
          <w:numId w:val="1005"/>
        </w:numPr>
      </w:pPr>
      <w:r>
        <w:t xml:space="preserve">Bank compatibility tests: https://github.com/Pierroons/my-self/tree/main/self-bill/selfcashpay/tests</w:t>
      </w:r>
    </w:p>
    <w:p>
      <w:pPr>
        <w:pStyle w:val="Compact"/>
        <w:numPr>
          <w:ilvl w:val="0"/>
          <w:numId w:val="1005"/>
        </w:numPr>
      </w:pPr>
      <w:r>
        <w:t xml:space="preserve">SelfInvoice integration: https://github.com/Pierroons/my-self/tree/main/self-bill/selfinvoice</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selfinvoice/" TargetMode="External" /></Relationships>
</file>

<file path=word/_rels/footnotes.xml.rels><?xml version="1.0" encoding="UTF-8"?><Relationships xmlns="http://schemas.openxmlformats.org/package/2006/relationships"><Relationship Type="http://schemas.openxmlformats.org/officeDocument/2006/relationships/hyperlink" Id="rId28" Target="../selfinvoi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SelfCashpay — Whitepaper</dc:title>
  <dc:creator>Pierroons — MySelf ecosystem</dc:creator>
  <cp:keywords/>
  <dcterms:created xsi:type="dcterms:W3CDTF">2026-04-17T16:11:35Z</dcterms:created>
  <dcterms:modified xsi:type="dcterms:W3CDTF">2026-04-17T16:11:35Z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Rehabilitating EPC069-12: zero-commission SEPA payments via QR</vt:lpwstr>
  </property>
  <property fmtid="{D5CDD505-2E9C-101B-9397-08002B2CF9AE}" pid="4" name="version">
    <vt:lpwstr>alpha 0.0.1</vt:lpwstr>
  </property>
</Properties>
</file>