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selfrecover-whitepaper-v1.1"/>
    <w:p>
      <w:pPr>
        <w:pStyle w:val="Heading1"/>
      </w:pPr>
      <w:r>
        <w:t xml:space="preserve">SelfRecover —</w:t>
      </w:r>
      <w:r>
        <w:t xml:space="preserve"> </w:t>
      </w:r>
      <w:r>
        <w:t xml:space="preserve">“</w:t>
      </w:r>
      <w:r>
        <w:t xml:space="preserve">Whitepaper</w:t>
      </w:r>
      <w:r>
        <w:t xml:space="preserve">”</w:t>
      </w:r>
      <w:r>
        <w:t xml:space="preserve"> </w:t>
      </w:r>
      <w:r>
        <w:t xml:space="preserve">v1.1</w:t>
      </w:r>
    </w:p>
    <w:p>
      <w:pPr>
        <w:pStyle w:val="FirstParagraph"/>
      </w:pPr>
      <w:r>
        <w:rPr>
          <w:b/>
          <w:bCs/>
        </w:rPr>
        <w:t xml:space="preserve">Protocole de récupération de compte sans email</w:t>
      </w:r>
      <w:r>
        <w:t xml:space="preserve"> </w:t>
      </w:r>
      <w:r>
        <w:rPr>
          <w:i/>
          <w:iCs/>
        </w:rPr>
        <w:t xml:space="preserve">Un mot. Tous les sites. Pour toujours.</w:t>
      </w:r>
    </w:p>
    <w:p>
      <w:pPr>
        <w:pStyle w:val="BodyText"/>
      </w:pPr>
      <w:r>
        <w:rPr>
          <w:i/>
          <w:iCs/>
        </w:rPr>
        <w:t xml:space="preserve">Édition du 23 juillet 2026 — v1.1</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rendre le canal email optionnel (mode</w:t>
      </w:r>
      <w:r>
        <w:t xml:space="preserve"> </w:t>
      </w:r>
      <w:r>
        <w:rPr>
          <w:b/>
          <w:bCs/>
        </w:rPr>
        <w:t xml:space="preserve">Lite</w:t>
      </w:r>
      <w:r>
        <w:t xml:space="preserve"> </w:t>
      </w:r>
      <w:r>
        <w:t xml:space="preserve">v0.1.1) ou le supprimer complètement (mode</w:t>
      </w:r>
      <w:r>
        <w:t xml:space="preserve"> </w:t>
      </w:r>
      <w:r>
        <w:rPr>
          <w:b/>
          <w:bCs/>
        </w:rPr>
        <w:t xml:space="preserve">Full</w:t>
      </w:r>
      <w:r>
        <w:t xml:space="preserve">). Publié sous AGPL-3.0-or-later en avril 2026 (v0.1.0).</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mot de récupération brut ne quitte jamais le navigateur, et le serveur ne stocke que des hachages Argon2id de clés dérivées par service (ce qui empêche la corrélation des empreintes entre services).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La vraie question que personne ne pose :</w:t>
      </w:r>
      <w:r>
        <w:t xml:space="preserve"> </w:t>
      </w:r>
      <w:r>
        <w:t xml:space="preserve">pourquoi un site web a-t-il besoin de votre email pour prouver que vous êtes vous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Le mot brut n’atteint jamais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hash classique du mot de passe</w:t>
      </w:r>
    </w:p>
    <w:p>
      <w:pPr>
        <w:pStyle w:val="Compact"/>
        <w:numPr>
          <w:ilvl w:val="0"/>
          <w:numId w:val="1002"/>
        </w:numPr>
      </w:pPr>
      <w:r>
        <w:rPr>
          <w:rStyle w:val="VerbatimChar"/>
        </w:rPr>
        <w:t xml:space="preserve">Argon2id(passphrase)</w:t>
      </w:r>
      <w:r>
        <w:t xml:space="preserve"> </w:t>
      </w:r>
      <w:r>
        <w:t xml:space="preserve">— une passphrase diceware générée côté serveur (6 mots, ~77,5 bits d’entropie)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FirstParagraph"/>
      </w:pPr>
      <w:r>
        <w:t xml:space="preserve">L’utilisateur reçoit la passphrase une seule fois et doit la conserver hors ligne.</w:t>
      </w:r>
    </w:p>
    <w:bookmarkEnd w:id="24"/>
    <w:bookmarkStart w:id="25" w:name="authentification"/>
    <w:p>
      <w:pPr>
        <w:pStyle w:val="Heading3"/>
      </w:pPr>
      <w:r>
        <w:t xml:space="preserve">3.2 Authentification</w:t>
      </w:r>
    </w:p>
    <w:p>
      <w:pPr>
        <w:pStyle w:val="FirstParagraph"/>
      </w:pPr>
      <w:r>
        <w:t xml:space="preserve">La connexion utilise le flow classique</w:t>
      </w:r>
      <w:r>
        <w:t xml:space="preserve"> </w:t>
      </w:r>
      <w:r>
        <w:rPr>
          <w:rStyle w:val="VerbatimChar"/>
        </w:rPr>
        <w:t xml:space="preserve">username + mot de passe</w:t>
      </w:r>
      <w:r>
        <w:t xml:space="preserve"> </w:t>
      </w:r>
      <w:r>
        <w:t xml:space="preserve">→ token JWT. Le token est lié à une empreinte navigateur et s’invalide au changement d’appareil.</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Username + passphrase diceware</w:t>
            </w:r>
          </w:p>
        </w:tc>
        <w:tc>
          <w:tcPr/>
          <w:p>
            <w:pPr>
              <w:pStyle w:val="Compact"/>
              <w:jc w:val="left"/>
            </w:pPr>
            <w:r>
              <w:t xml:space="preserve">Nouveau mot de passe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w:t>
            </w:r>
          </w:p>
        </w:tc>
      </w:tr>
      <w:tr>
        <w:tc>
          <w:tcPr/>
          <w:p>
            <w:pPr>
              <w:pStyle w:val="Compact"/>
              <w:jc w:val="left"/>
            </w:pPr>
            <w:r>
              <w:rPr>
                <w:b/>
                <w:bCs/>
              </w:rPr>
              <w:t xml:space="preserve">L3</w:t>
            </w:r>
          </w:p>
        </w:tc>
        <w:tc>
          <w:tcPr/>
          <w:p>
            <w:pPr>
              <w:pStyle w:val="Compact"/>
              <w:jc w:val="left"/>
            </w:pPr>
            <w:r>
              <w:t xml:space="preserve">Identifiant public + signaux contextuels</w:t>
            </w:r>
          </w:p>
        </w:tc>
        <w:tc>
          <w:tcPr/>
          <w:p>
            <w:pPr>
              <w:pStyle w:val="Compact"/>
              <w:jc w:val="left"/>
            </w:pPr>
            <w:r>
              <w:t xml:space="preserve">Faits bruts pour un admin humain → ré-enrôlement par l’utilisateur en cas d’accord</w:t>
            </w:r>
          </w:p>
        </w:tc>
      </w:tr>
    </w:tbl>
    <w:p>
      <w:r>
        <w:pict>
          <v:rect style="width:0;height:1.5pt" o:hralign="center" o:hrstd="t" o:hr="t"/>
        </w:pict>
      </w:r>
    </w:p>
    <w:bookmarkEnd w:id="26"/>
    <w:bookmarkEnd w:id="27"/>
    <w:bookmarkStart w:id="29"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livrée par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input produit un output différent sur chaque service</w:t>
      </w:r>
    </w:p>
    <w:p>
      <w:pPr>
        <w:pStyle w:val="Compact"/>
        <w:numPr>
          <w:ilvl w:val="0"/>
          <w:numId w:val="1003"/>
        </w:numPr>
      </w:pPr>
      <w:r>
        <w:t xml:space="preserve">Le mot brut ne quitte</w:t>
      </w:r>
      <w:r>
        <w:t xml:space="preserve"> </w:t>
      </w:r>
      <w:r>
        <w:rPr>
          <w:b/>
          <w:bCs/>
        </w:rPr>
        <w:t xml:space="preserve">jamais</w:t>
      </w:r>
      <w:r>
        <w:t xml:space="preserve"> </w:t>
      </w:r>
      <w:r>
        <w:t xml:space="preserve">le navigateur</w:t>
      </w:r>
    </w:p>
    <w:p>
      <w:pPr>
        <w:pStyle w:val="Compact"/>
        <w:numPr>
          <w:ilvl w:val="0"/>
          <w:numId w:val="1003"/>
        </w:numPr>
      </w:pPr>
      <w:r>
        <w:t xml:space="preserve">Le serveur ne voit jamais le mot — uniquement la clé dérivée</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p>
      <w:r>
        <w:pict>
          <v:rect style="width:0;height:1.5pt" o:hralign="center" o:hrstd="t" o:hr="t"/>
        </w:pict>
      </w:r>
    </w:p>
    <w:bookmarkEnd w:id="28"/>
    <w:bookmarkEnd w:id="29"/>
    <w:bookmarkStart w:id="34" w:name="escalade-de-récupération-en-3-niveaux"/>
    <w:p>
      <w:pPr>
        <w:pStyle w:val="Heading2"/>
      </w:pPr>
      <w:r>
        <w:t xml:space="preserve">5. Escalade de récupération en 3 niveaux</w:t>
      </w:r>
    </w:p>
    <w:bookmarkStart w:id="30" w:name="niveau-1-mot-de-passe-oublié"/>
    <w:p>
      <w:pPr>
        <w:pStyle w:val="Heading3"/>
      </w:pPr>
      <w:r>
        <w:t xml:space="preserve">5.1 Niveau 1 — Mot de passe oublié</w:t>
      </w:r>
    </w:p>
    <w:p>
      <w:pPr>
        <w:pStyle w:val="Compact"/>
        <w:numPr>
          <w:ilvl w:val="0"/>
          <w:numId w:val="1004"/>
        </w:numPr>
      </w:pPr>
      <w:r>
        <w:t xml:space="preserve">L’utilisateur fournit :</w:t>
      </w:r>
      <w:r>
        <w:t xml:space="preserve"> </w:t>
      </w:r>
      <w:r>
        <w:rPr>
          <w:rStyle w:val="VerbatimChar"/>
        </w:rPr>
        <w:t xml:space="preserve">username</w:t>
      </w:r>
      <w:r>
        <w:t xml:space="preserve"> </w:t>
      </w:r>
      <w:r>
        <w:t xml:space="preserve">+</w:t>
      </w:r>
      <w:r>
        <w:t xml:space="preserve"> </w:t>
      </w:r>
      <w:r>
        <w:rPr>
          <w:rStyle w:val="VerbatimChar"/>
        </w:rPr>
        <w:t xml:space="preserve">passphrase diceware</w:t>
      </w:r>
      <w:r>
        <w:t xml:space="preserve"> </w:t>
      </w:r>
      <w:r>
        <w:t xml:space="preserve">(correspondance exacte)</w:t>
      </w:r>
    </w:p>
    <w:p>
      <w:pPr>
        <w:pStyle w:val="Compact"/>
        <w:numPr>
          <w:ilvl w:val="0"/>
          <w:numId w:val="1004"/>
        </w:numPr>
      </w:pPr>
      <w:r>
        <w:t xml:space="preserve">En cas de succès : nouveau mot de passe généré, masqué par défaut, affiché une seule fois</w:t>
      </w:r>
    </w:p>
    <w:p>
      <w:pPr>
        <w:pStyle w:val="Compact"/>
        <w:numPr>
          <w:ilvl w:val="0"/>
          <w:numId w:val="1004"/>
        </w:numPr>
      </w:pPr>
      <w:r>
        <w:t xml:space="preserve">Le mot de passe reste à l’écran jusqu’à confirmation</w:t>
      </w:r>
      <w:r>
        <w:t xml:space="preserve"> </w:t>
      </w:r>
      <w:r>
        <w:rPr>
          <w:rStyle w:val="VerbatimChar"/>
        </w:rPr>
        <w:t xml:space="preserve">"J'ai noté"</w:t>
      </w:r>
    </w:p>
    <w:p>
      <w:pPr>
        <w:pStyle w:val="Compact"/>
        <w:numPr>
          <w:ilvl w:val="0"/>
          <w:numId w:val="1004"/>
        </w:numPr>
      </w:pPr>
      <w:r>
        <w:t xml:space="preserve">Rate limit : 5 échecs / 15 minutes par username et 12 par adresse (valeurs par défaut, réglées par l’intégrateur)</w:t>
      </w:r>
    </w:p>
    <w:p>
      <w:pPr>
        <w:pStyle w:val="Compact"/>
        <w:numPr>
          <w:ilvl w:val="0"/>
          <w:numId w:val="1004"/>
        </w:numPr>
      </w:pPr>
      <w:r>
        <w:t xml:space="preserve">Anti-bot : hors de portée de la bibliothèque — le champ honeypot et le contrôle de timing vivent sur la page</w:t>
      </w:r>
    </w:p>
    <w:bookmarkEnd w:id="30"/>
    <w:bookmarkStart w:id="31"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(le mot brut ne quitte jamais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l’utilisateur choisit son nouveau mot de passe et le code est marqué comme utilisé.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 le niveau 2 ne demande aucun identifiant, mais le code qu’il reçoit nomme son compte, et c’est ce que compte son frein par compte — une fenêtre courte, puis la suspension du niveau pour ce compte. Le compteur par adresse s’y ajoute, là où une adresse veut dire quelque chose. C’est la personne qui décide d’ouvrir un dossier.</w:t>
      </w:r>
    </w:p>
    <w:bookmarkEnd w:id="31"/>
    <w:bookmarkStart w:id="32"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son identifiant public ; son navigateur génère un</w:t>
      </w:r>
      <w:r>
        <w:t xml:space="preserve"> </w:t>
      </w:r>
      <w:r>
        <w:rPr>
          <w:b/>
          <w:bCs/>
        </w:rPr>
        <w:t xml:space="preserve">code de suivi</w:t>
      </w:r>
      <w:r>
        <w:t xml:space="preserve"> </w:t>
      </w:r>
      <w:r>
        <w:t xml:space="preserve">(sésame) dont seule l’empreinte (SHA-256) est envoyée au serveur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LIT-&lt;aléatoire&gt;</w:t>
      </w:r>
      <w:r>
        <w:t xml:space="preserve">) est ouvert. Si un litige est déjà ouvert pour ce compte, le numéro n’est</w:t>
      </w:r>
      <w:r>
        <w:t xml:space="preserve"> </w:t>
      </w:r>
      <w:r>
        <w:rPr>
          <w:b/>
          <w:bCs/>
        </w:rPr>
        <w:t xml:space="preserve">pas redivulgué</w:t>
      </w:r>
      <w:r>
        <w:t xml:space="preserve"> </w:t>
      </w:r>
      <w:r>
        <w:t xml:space="preserve">et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signaux</w:t>
      </w:r>
      <w:r>
        <w:t xml:space="preserve"> </w:t>
      </w:r>
      <w:r>
        <w:t xml:space="preserve">présenté à l’administrateur :</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 Il est entièrement déclaratif, confronté à ce que le serveur enregistre déjà, et il le dit à l’arbitre plutôt que de le laisser supposer</w:t>
      </w:r>
    </w:p>
    <w:p>
      <w:pPr>
        <w:pStyle w:val="Compact"/>
        <w:numPr>
          <w:ilvl w:val="1"/>
          <w:numId w:val="1007"/>
        </w:numPr>
      </w:pPr>
      <w:r>
        <w:rPr>
          <w:b/>
          <w:bCs/>
        </w:rPr>
        <w:t xml:space="preserve">Signaux déclaratifs</w:t>
      </w:r>
      <w:r>
        <w:t xml:space="preserve"> </w:t>
      </w:r>
      <w:r>
        <w:t xml:space="preserve">(ce que l’utilisateur affirme, comparé au réel) : année de création, mois de dernière connexion, fréquence d’usage</w:t>
      </w:r>
    </w:p>
    <w:p>
      <w:pPr>
        <w:pStyle w:val="Compact"/>
        <w:numPr>
          <w:ilvl w:val="0"/>
          <w:numId w:val="1006"/>
        </w:numPr>
      </w:pPr>
      <w:r>
        <w:rPr>
          <w:b/>
          <w:bCs/>
        </w:rPr>
        <w:t xml:space="preserve">Aucun score chiffré n’est calculé.</w:t>
      </w:r>
      <w:r>
        <w:t xml:space="preserve"> </w:t>
      </w:r>
      <w:r>
        <w:t xml:space="preserve">Les signaux sont des</w:t>
      </w:r>
      <w:r>
        <w:t xml:space="preserve"> </w:t>
      </w:r>
      <w:r>
        <w:rPr>
          <w:b/>
          <w:bCs/>
        </w:rPr>
        <w:t xml:space="preserve">faits bruts</w:t>
      </w:r>
      <w:r>
        <w:t xml:space="preserve"> </w:t>
      </w:r>
      <w:r>
        <w:t xml:space="preserve">: ils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Le code de suivi conditionne l’accès au fil de discussion et au rétablissement, et n’est utilisable qu’une fois. Il expire avec le dossier au bout de 24 h —</w:t>
      </w:r>
      <w:r>
        <w:t xml:space="preserve"> </w:t>
      </w:r>
      <w:r>
        <w:rPr>
          <w:b/>
          <w:bCs/>
        </w:rPr>
        <w:t xml:space="preserve">sauf si le dossier a été accepté</w:t>
      </w:r>
      <w:r>
        <w:t xml:space="preserve"> </w:t>
      </w:r>
      <w:r>
        <w:t xml:space="preserve">: à partir de l’accord, l’horloge s’arrête, pour qu’elle n’annule pas le travail de l’arbitre avant que le titulaire revienne</w:t>
      </w:r>
    </w:p>
    <w:bookmarkEnd w:id="32"/>
    <w:bookmarkStart w:id="33"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~40 bits chacun).</w:t>
      </w:r>
      <w:r>
        <w:t xml:space="preserve"> </w:t>
      </w:r>
      <w:r>
        <w:t xml:space="preserve">- Stockage double, jamais en clair :</w:t>
      </w:r>
      <w:r>
        <w:t xml:space="preserve"> </w:t>
      </w:r>
      <w:r>
        <w:rPr>
          <w:rStyle w:val="VerbatimChar"/>
        </w:rPr>
        <w:t xml:space="preserve">code_lookup = HMAC-SHA256(SERVER_SECRET, code)</w:t>
      </w:r>
      <w:r>
        <w:t xml:space="preserve"> </w:t>
      </w:r>
      <w:r>
        <w:t xml:space="preserve">(recherche O(1) sans identifiant, rôle de</w:t>
      </w:r>
      <w:r>
        <w:t xml:space="preserve"> </w:t>
      </w:r>
      <w:r>
        <w:rPr>
          <w:i/>
          <w:iCs/>
        </w:rPr>
        <w:t xml:space="preserve">pepper</w:t>
      </w:r>
      <w:r>
        <w:t xml:space="preserve">)</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w:t>
      </w:r>
      <w:r>
        <w:t xml:space="preserve"> </w:t>
      </w:r>
      <w:r>
        <w:t xml:space="preserve">-</w:t>
      </w:r>
      <w:r>
        <w:t xml:space="preserve"> </w:t>
      </w:r>
      <w:r>
        <w:rPr>
          <w:b/>
          <w:bCs/>
        </w:rPr>
        <w:t xml:space="preserve">Usage unique</w:t>
      </w:r>
      <w:r>
        <w:t xml:space="preserve">, régénérables à la demande (le nouveau lot remplace l’ancien). Universels : papier, gestionnaire de mots de passe ou second appareil, au choix.</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écrit dans la bibliothèque et confronté aux vecteurs de libsodium — aucun binaire embarqué. Le blob obtenu porte sa version et ses paramètres de dérivation.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et freine ce chemin par compte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p>
    <w:p>
      <w:r>
        <w:pict>
          <v:rect style="width:0;height:1.5pt" o:hralign="center" o:hrstd="t" o:hr="t"/>
        </w:pict>
      </w:r>
    </w:p>
    <w:bookmarkEnd w:id="33"/>
    <w:bookmarkEnd w:id="34"/>
    <w:bookmarkStart w:id="37"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LIT-XXXX</w:t>
      </w:r>
      <w:r>
        <w:t xml:space="preserve">) s’ouvre quand la personne le demande, jamais automatiquement, et devient visible dans la console d’arbitrage dès qu’elle y a déposé ses réponses.</w:t>
      </w:r>
    </w:p>
    <w:p>
      <w:pPr>
        <w:pStyle w:val="Compact"/>
        <w:numPr>
          <w:ilvl w:val="0"/>
          <w:numId w:val="1008"/>
        </w:numPr>
      </w:pPr>
      <w:r>
        <w:t xml:space="preserve">Chaque litige a un numéro</w:t>
      </w:r>
      <w:r>
        <w:t xml:space="preserve"> </w:t>
      </w:r>
      <w:r>
        <w:rPr>
          <w:b/>
          <w:bCs/>
        </w:rPr>
        <w:t xml:space="preserve">non devinable</w:t>
      </w:r>
      <w:r>
        <w:t xml:space="preserve">, le faisceau de signaux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8"/>
        </w:numPr>
      </w:pPr>
      <w:r>
        <w:t xml:space="preserve">L’admin retrouve les litiges ouverts dans son tableau de bord</w:t>
      </w:r>
    </w:p>
    <w:p>
      <w:pPr>
        <w:pStyle w:val="Compact"/>
        <w:numPr>
          <w:ilvl w:val="0"/>
          <w:numId w:val="1008"/>
        </w:numPr>
      </w:pPr>
      <w:r>
        <w:t xml:space="preserve">Un chat bidirectionnel est disponible entre l’admin et l’utilisateur, dont l’accès est conditionné par le code de suivi (polling, pas de WebSocket temps réel pour rester simple)</w:t>
      </w:r>
    </w:p>
    <w:p>
      <w:pPr>
        <w:pStyle w:val="Compact"/>
        <w:numPr>
          <w:ilvl w:val="0"/>
          <w:numId w:val="1008"/>
        </w:numPr>
      </w:pPr>
      <w:r>
        <w:rPr>
          <w:rStyle w:val="VerbatimChar"/>
        </w:rPr>
        <w:t xml:space="preserve">purger()</w:t>
      </w:r>
      <w:r>
        <w:t xml:space="preserve"> </w:t>
      </w:r>
      <w:r>
        <w:t xml:space="preserve">efface les dossiers périmés — ni les refusés, sur lesquels se compte le gel, ni les acceptés, qu’un titulaire peut encore venir consommer. ⚠️ La bibliothèque expose la méthode ;</w:t>
      </w:r>
      <w:r>
        <w:t xml:space="preserve"> </w:t>
      </w:r>
      <w:r>
        <w:rPr>
          <w:b/>
          <w:bCs/>
        </w:rPr>
        <w:t xml:space="preserve">elle n’a pas d’horloge</w:t>
      </w:r>
      <w:r>
        <w:t xml:space="preserve">. C’est au déploiement de l’appeler, par une tâche planifiée.</w:t>
      </w:r>
    </w:p>
    <w:bookmarkStart w:id="35"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09"/>
        </w:numPr>
      </w:pPr>
      <w:r>
        <w:t xml:space="preserve">L’admin vérifie l’identité via l’échange chat</w:t>
      </w:r>
    </w:p>
    <w:p>
      <w:pPr>
        <w:pStyle w:val="Compact"/>
        <w:numPr>
          <w:ilvl w:val="0"/>
          <w:numId w:val="1009"/>
        </w:numPr>
      </w:pPr>
      <w:r>
        <w:t xml:space="preserve">Le litige passe en</w:t>
      </w:r>
      <w:r>
        <w:t xml:space="preserve"> </w:t>
      </w:r>
      <w:r>
        <w:rPr>
          <w:rStyle w:val="VerbatimChar"/>
        </w:rPr>
        <w:t xml:space="preserve">granted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09"/>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 le mot mémorisé est dérivé dans le navigateur et n’arrive jamais en clair, le mot de passe est soumis en clair — le serveur ne l’émet pas, il le range. La passphrase et les codes, eux, sont engendrés par le serveur et affichés une fois. Le code de suivi est alors consommé (usage unique) et le litige passe en</w:t>
      </w:r>
      <w:r>
        <w:t xml:space="preserve"> </w:t>
      </w:r>
      <w:r>
        <w:rPr>
          <w:rStyle w:val="VerbatimChar"/>
        </w:rPr>
        <w:t xml:space="preserve">resolved</w:t>
      </w:r>
    </w:p>
    <w:p>
      <w:pPr>
        <w:pStyle w:val="FirstParagraph"/>
      </w:pPr>
      <w:r>
        <w:rPr>
          <w:b/>
          <w:bCs/>
        </w:rPr>
        <w:t xml:space="preserve">Option 2 — Refuser la récupération :</w:t>
      </w:r>
    </w:p>
    <w:p>
      <w:pPr>
        <w:pStyle w:val="Compact"/>
        <w:numPr>
          <w:ilvl w:val="0"/>
          <w:numId w:val="1010"/>
        </w:numPr>
      </w:pPr>
      <w:r>
        <w:t xml:space="preserve">L’admin ne considère pas la preuve d’identité suffisante</w:t>
      </w:r>
    </w:p>
    <w:p>
      <w:pPr>
        <w:pStyle w:val="Compact"/>
        <w:numPr>
          <w:ilvl w:val="0"/>
          <w:numId w:val="1010"/>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0"/>
        </w:numPr>
      </w:pPr>
      <w:r>
        <w:rPr>
          <w:b/>
          <w:bCs/>
        </w:rPr>
        <w:t xml:space="preserve">Le compte n’est pas touché</w:t>
      </w:r>
      <w:r>
        <w:t xml:space="preserve"> </w:t>
      </w:r>
      <w:r>
        <w:t xml:space="preserve">: ni supprimé, ni banni, ni vidé de ses codes. Il reste connectable</w:t>
      </w:r>
    </w:p>
    <w:p>
      <w:pPr>
        <w:pStyle w:val="Compact"/>
        <w:numPr>
          <w:ilvl w:val="0"/>
          <w:numId w:val="1010"/>
        </w:numPr>
      </w:pPr>
      <w:r>
        <w:t xml:space="preserve">Au-delà de</w:t>
      </w:r>
      <w:r>
        <w:t xml:space="preserve"> </w:t>
      </w:r>
      <w:r>
        <w:rPr>
          <w:b/>
          <w:bCs/>
        </w:rPr>
        <w:t xml:space="preserve">3 refus dans une fenêtre glissante de 30 jours</w:t>
      </w:r>
      <w:r>
        <w:t xml:space="preserve">, l’</w:t>
      </w:r>
      <w:r>
        <w:rPr>
          <w:b/>
          <w:bCs/>
        </w:rPr>
        <w:t xml:space="preserve">ouverture</w:t>
      </w:r>
      <w:r>
        <w:t xml:space="preserve"> </w:t>
      </w:r>
      <w:r>
        <w:t xml:space="preserve">de nouveaux dossiers gèle 7 jours sur ce compte. Un administrateur peut lever le gel, et la trace du dégel est conservée</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w:t>
      </w:r>
      <w:r>
        <w:t xml:space="preserve"> </w:t>
      </w:r>
      <w:r>
        <w:t xml:space="preserve">le gel coûte à qui insiste sans convaincre, sans rien coûter au titulaire, qui continue de se connecter normalement pendant ce temps. Le comptage porte sur les</w:t>
      </w:r>
      <w:r>
        <w:t xml:space="preserve"> </w:t>
      </w:r>
      <w:r>
        <w:rPr>
          <w:b/>
          <w:bCs/>
        </w:rPr>
        <w:t xml:space="preserve">dossiers refusés</w:t>
      </w:r>
      <w:r>
        <w:t xml:space="preserve">, pas sur les dépôts : trois soumissions dans un même dossier restent un seul refus, sinon l’insistance d’un titulaire honnête déclencherait le gel aussi vite qu’une campagne hostile.</w:t>
      </w:r>
    </w:p>
    <w:bookmarkEnd w:id="35"/>
    <w:bookmarkStart w:id="36" w:name="Xf980310a96f132d7f3040d3713e500a45d1d461"/>
    <w:p>
      <w:pPr>
        <w:pStyle w:val="Heading3"/>
      </w:pPr>
      <w:r>
        <w:t xml:space="preserve">6.2 Super-utilisateur (SU) — gouvernance des administrateurs</w:t>
      </w:r>
    </w:p>
    <w:p>
      <w:pPr>
        <w:pStyle w:val="FirstParagraph"/>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6"/>
    <w:bookmarkEnd w:id="37"/>
    <w:bookmarkStart w:id="38"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1"/>
        </w:numPr>
      </w:pPr>
      <w:r>
        <w:rPr>
          <w:b/>
          <w:bCs/>
        </w:rPr>
        <w:t xml:space="preserve">Compteurs</w:t>
      </w:r>
      <w:r>
        <w:t xml:space="preserve"> </w:t>
      </w:r>
      <w:r>
        <w:t xml:space="preserve">: par username et par adresse au niveau 1, par adresse et par service au niveau 3</w:t>
      </w:r>
    </w:p>
    <w:p>
      <w:pPr>
        <w:pStyle w:val="Compact"/>
        <w:numPr>
          <w:ilvl w:val="0"/>
          <w:numId w:val="1011"/>
        </w:numPr>
      </w:pPr>
      <w:r>
        <w:rPr>
          <w:b/>
          <w:bCs/>
        </w:rPr>
        <w:t xml:space="preserve">Délai forcé</w:t>
      </w:r>
      <w:r>
        <w:t xml:space="preserve"> </w:t>
      </w:r>
      <w:r>
        <w:t xml:space="preserve">sur chaque refus qui tait un état</w:t>
      </w:r>
    </w:p>
    <w:p>
      <w:pPr>
        <w:pStyle w:val="Compact"/>
        <w:numPr>
          <w:ilvl w:val="0"/>
          <w:numId w:val="1011"/>
        </w:numPr>
      </w:pPr>
      <w:r>
        <w:rPr>
          <w:b/>
          <w:bCs/>
        </w:rPr>
        <w:t xml:space="preserve">Message de refus unique</w:t>
      </w:r>
      <w:r>
        <w:t xml:space="preserve">, pour que rien ne trie les comptes qui existent</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38"/>
    <w:bookmarkStart w:id="39" w:name="X70d77c4b7267a5ef9d3ab6beb9ab1ad51d57c05"/>
    <w:p>
      <w:pPr>
        <w:pStyle w:val="Heading2"/>
      </w:pPr>
      <w:r>
        <w:t xml:space="preserve">8. Diagnostic et remontée de bugs (sans données perso)</w:t>
      </w:r>
    </w:p>
    <w:p>
      <w:pPr>
        <w:pStyle w:val="FirstParagraph"/>
      </w:pPr>
      <w:r>
        <w:t xml:space="preserve">Chaque échec génère un code d’erreur structuré :</w:t>
      </w:r>
    </w:p>
    <w:p>
      <w:pPr>
        <w:pStyle w:val="SourceCode"/>
      </w:pPr>
      <w:r>
        <w:rPr>
          <w:rStyle w:val="VerbatimChar"/>
        </w:rPr>
        <w:t xml:space="preserve">SR-L1-PASS-001   Niveau 1, passphrase incorrecte, tentative 1</w:t>
      </w:r>
      <w:r>
        <w:br/>
      </w:r>
      <w:r>
        <w:rPr>
          <w:rStyle w:val="VerbatimChar"/>
        </w:rPr>
        <w:t xml:space="preserve">SR-L2-HMAC-003   Niveau 2, validation HMAC échouée, tentative 3</w:t>
      </w:r>
      <w:r>
        <w:br/>
      </w:r>
      <w:r>
        <w:rPr>
          <w:rStyle w:val="VerbatimChar"/>
        </w:rPr>
        <w:t xml:space="preserve">SR-L3-SIGN-OK    Niveau 3, faisceau de signaux transmis à l'admin</w:t>
      </w:r>
      <w:r>
        <w:br/>
      </w:r>
      <w:r>
        <w:rPr>
          <w:rStyle w:val="VerbatimChar"/>
        </w:rPr>
        <w:t xml:space="preserve">SR-L3-FING-BLK   Niveau 3, empreinte bloquée</w:t>
      </w:r>
      <w:r>
        <w:br/>
      </w:r>
      <w:r>
        <w:rPr>
          <w:rStyle w:val="VerbatimChar"/>
        </w:rPr>
        <w:t xml:space="preserve">SR-SYS-SALT-ERR  Erreur système, récupération du sel échouée</w:t>
      </w:r>
    </w:p>
    <w:p>
      <w:pPr>
        <w:pStyle w:val="FirstParagraph"/>
      </w:pPr>
      <w:r>
        <w:rPr>
          <w:b/>
          <w:bCs/>
        </w:rPr>
        <w:t xml:space="preserve">Ce qui EST inclus dans les rapports de diagnostic :</w:t>
      </w:r>
    </w:p>
    <w:p>
      <w:pPr>
        <w:pStyle w:val="Compact"/>
        <w:numPr>
          <w:ilvl w:val="0"/>
          <w:numId w:val="1012"/>
        </w:numPr>
      </w:pPr>
      <w:r>
        <w:t xml:space="preserve">Code d’erreur, version de la librairie, navigateur/OS, niveau atteint, nombre de tentatives</w:t>
      </w:r>
    </w:p>
    <w:p>
      <w:pPr>
        <w:pStyle w:val="Compact"/>
        <w:numPr>
          <w:ilvl w:val="0"/>
          <w:numId w:val="1012"/>
        </w:numPr>
      </w:pPr>
      <w:r>
        <w:t xml:space="preserve">Identifiant d’installation (ne révèle aucun secret)</w:t>
      </w:r>
    </w:p>
    <w:p>
      <w:pPr>
        <w:pStyle w:val="FirstParagraph"/>
      </w:pPr>
      <w:r>
        <w:rPr>
          <w:b/>
          <w:bCs/>
        </w:rPr>
        <w:t xml:space="preserve">Ce qui n’est JAMAIS inclus :</w:t>
      </w:r>
    </w:p>
    <w:p>
      <w:pPr>
        <w:pStyle w:val="Compact"/>
        <w:numPr>
          <w:ilvl w:val="0"/>
          <w:numId w:val="1013"/>
        </w:numPr>
      </w:pPr>
      <w:r>
        <w:t xml:space="preserve">Mot de récupération (brut ou dérivé), username, identifiant, IP, empreinte</w:t>
      </w:r>
    </w:p>
    <w:p>
      <w:pPr>
        <w:pStyle w:val="Compact"/>
        <w:numPr>
          <w:ilvl w:val="0"/>
          <w:numId w:val="1013"/>
        </w:numPr>
      </w:pPr>
      <w:r>
        <w:t xml:space="preserve">Passphrase, mot de passe, aucune donnée personnelle</w:t>
      </w:r>
    </w:p>
    <w:p>
      <w:r>
        <w:pict>
          <v:rect style="width:0;height:1.5pt" o:hralign="center" o:hrstd="t" o:hr="t"/>
        </w:pict>
      </w:r>
    </w:p>
    <w:bookmarkEnd w:id="39"/>
    <w:bookmarkStart w:id="40" w:name="protection-contre-les-attaques-actives"/>
    <w:p>
      <w:pPr>
        <w:pStyle w:val="Heading2"/>
      </w:pPr>
      <w:r>
        <w:t xml:space="preserve">9. Protection contre les attaques actives</w:t>
      </w:r>
    </w:p>
    <w:p>
      <w:pPr>
        <w:pStyle w:val="FirstParagraph"/>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4"/>
        </w:numPr>
      </w:pPr>
      <w:r>
        <w:rPr>
          <w:b/>
          <w:bCs/>
        </w:rPr>
        <w:t xml:space="preserve">Oui</w:t>
      </w:r>
      <w:r>
        <w:t xml:space="preserve"> </w:t>
      </w:r>
      <w:r>
        <w:t xml:space="preserve">→ nettoyage silencieux des tentatives échouées et des litiges, l’utilisateur continue normalement</w:t>
      </w:r>
    </w:p>
    <w:p>
      <w:pPr>
        <w:pStyle w:val="Compact"/>
        <w:numPr>
          <w:ilvl w:val="0"/>
          <w:numId w:val="1014"/>
        </w:numPr>
      </w:pPr>
      <w:r>
        <w:rPr>
          <w:b/>
          <w:bCs/>
        </w:rPr>
        <w:t xml:space="preserve">Non</w:t>
      </w:r>
      <w:r>
        <w:t xml:space="preserve"> </w:t>
      </w:r>
      <w:r>
        <w:t xml:space="preserve">→ protection renforcée activée en arrière-plan :</w:t>
      </w:r>
    </w:p>
    <w:p>
      <w:pPr>
        <w:pStyle w:val="Compact"/>
        <w:numPr>
          <w:ilvl w:val="1"/>
          <w:numId w:val="1015"/>
        </w:numPr>
      </w:pPr>
      <w:r>
        <w:t xml:space="preserve">Nouveau mot de passe généré et affiché à l’utilisateur</w:t>
      </w:r>
    </w:p>
    <w:p>
      <w:pPr>
        <w:pStyle w:val="Compact"/>
        <w:numPr>
          <w:ilvl w:val="1"/>
          <w:numId w:val="1015"/>
        </w:numPr>
      </w:pPr>
      <w:r>
        <w:t xml:space="preserve">Sessions révoquées : qui tenait le compte est éjecté</w:t>
      </w:r>
    </w:p>
    <w:p>
      <w:pPr>
        <w:pStyle w:val="Compact"/>
        <w:numPr>
          <w:ilvl w:val="1"/>
          <w:numId w:val="1015"/>
        </w:numPr>
      </w:pPr>
      <w:r>
        <w:t xml:space="preserve">Admin notifié</w:t>
      </w:r>
    </w:p>
    <w:p>
      <w:pPr>
        <w:pStyle w:val="FirstParagraph"/>
      </w:pPr>
      <w:r>
        <w:t xml:space="preserve">Ce qui suit relève de l’application et non du protocole, parce qu’il faut des</w:t>
      </w:r>
      <w:r>
        <w:t xml:space="preserve"> </w:t>
      </w:r>
      <w:r>
        <w:t xml:space="preserve">sessions, des rôles et un canal de notification que la bibliothèque n’a pas.</w:t>
      </w:r>
    </w:p>
    <w:p>
      <w:pPr>
        <w:pStyle w:val="BodyText"/>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0"/>
    <w:bookmarkStart w:id="45" w:name="modèle-de-menaces-et-limites"/>
    <w:p>
      <w:pPr>
        <w:pStyle w:val="Heading2"/>
      </w:pPr>
      <w:r>
        <w:t xml:space="preserve">10. Modèle de menaces et limites</w:t>
      </w:r>
    </w:p>
    <w:bookmarkStart w:id="41" w:name="menaces-traitées"/>
    <w:p>
      <w:pPr>
        <w:pStyle w:val="Heading3"/>
      </w:pPr>
      <w:r>
        <w:t xml:space="preserve">10.1 Menaces traitées</w:t>
      </w:r>
    </w:p>
    <w:p>
      <w:pPr>
        <w:pStyle w:val="Compact"/>
        <w:numPr>
          <w:ilvl w:val="0"/>
          <w:numId w:val="1016"/>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6"/>
        </w:numPr>
      </w:pPr>
      <w:r>
        <w:rPr>
          <w:b/>
          <w:bCs/>
        </w:rPr>
        <w:t xml:space="preserve">Piratage de l’email</w:t>
      </w:r>
      <w:r>
        <w:t xml:space="preserve"> </w:t>
      </w:r>
      <w:r>
        <w:t xml:space="preserve">— il n’y a aucun email dans le protocole</w:t>
      </w:r>
    </w:p>
    <w:p>
      <w:pPr>
        <w:pStyle w:val="Compact"/>
        <w:numPr>
          <w:ilvl w:val="0"/>
          <w:numId w:val="1016"/>
        </w:numPr>
      </w:pPr>
      <w:r>
        <w:rPr>
          <w:b/>
          <w:bCs/>
        </w:rPr>
        <w:t xml:space="preserve">Panne du fournisseur SMTP</w:t>
      </w:r>
      <w:r>
        <w:t xml:space="preserve"> </w:t>
      </w:r>
      <w:r>
        <w:t xml:space="preserve">— pas de dépendance SMTP</w:t>
      </w:r>
    </w:p>
    <w:p>
      <w:pPr>
        <w:pStyle w:val="Compact"/>
        <w:numPr>
          <w:ilvl w:val="0"/>
          <w:numId w:val="1016"/>
        </w:numPr>
      </w:pPr>
      <w:r>
        <w:rPr>
          <w:b/>
          <w:bCs/>
        </w:rPr>
        <w:t xml:space="preserve">Confiance tiers</w:t>
      </w:r>
      <w:r>
        <w:t xml:space="preserve"> </w:t>
      </w:r>
      <w:r>
        <w:t xml:space="preserve">— seuls le site et l’utilisateur sont impliqués</w:t>
      </w:r>
    </w:p>
    <w:p>
      <w:pPr>
        <w:pStyle w:val="Compact"/>
        <w:numPr>
          <w:ilvl w:val="0"/>
          <w:numId w:val="1016"/>
        </w:numPr>
      </w:pPr>
      <w:r>
        <w:rPr>
          <w:b/>
          <w:bCs/>
        </w:rPr>
        <w:t xml:space="preserve">Brute force limité par rate</w:t>
      </w:r>
      <w:r>
        <w:t xml:space="preserve"> </w:t>
      </w:r>
      <w:r>
        <w:t xml:space="preserve">— limites par username + escalade L2/L3</w:t>
      </w:r>
    </w:p>
    <w:p>
      <w:pPr>
        <w:pStyle w:val="Compact"/>
        <w:numPr>
          <w:ilvl w:val="0"/>
          <w:numId w:val="1016"/>
        </w:numPr>
      </w:pPr>
      <w:r>
        <w:rPr>
          <w:b/>
          <w:bCs/>
        </w:rPr>
        <w:t xml:space="preserve">Énumération par bot</w:t>
      </w:r>
      <w:r>
        <w:t xml:space="preserve"> </w:t>
      </w:r>
      <w:r>
        <w:t xml:space="preserve">—</w:t>
      </w:r>
      <w:r>
        <w:t xml:space="preserve"> </w:t>
      </w:r>
      <w:r>
        <w:rPr>
          <w:i/>
          <w:iCs/>
        </w:rPr>
        <w:t xml:space="preserve">partiellement</w:t>
      </w:r>
      <w:r>
        <w:t xml:space="preserve">. Fermée aux niveaux 1 et 2 : refus unique au premier, aucun identifiant demandé au second. Ouverte au niveau 3, où la réponse utile EST la distinction — un succès rend un numéro de dossier, un nom inconnu ne peut pas en rendre. Ce qui s’y oppose est le coût : deux freins avant la recherche du compte (par adresse, par service), un délai sur chaque refus qui tait un état, et une preuve de travail devant la route — que la bibliothèque ne peut pas imposer puisqu’elle n’a pas de route</w:t>
      </w:r>
    </w:p>
    <w:p>
      <w:pPr>
        <w:pStyle w:val="Compact"/>
        <w:numPr>
          <w:ilvl w:val="0"/>
          <w:numId w:val="1016"/>
        </w:numPr>
      </w:pPr>
      <w:r>
        <w:rPr>
          <w:b/>
          <w:bCs/>
        </w:rPr>
        <w:t xml:space="preserve">Blanchiment de réputation sociale</w:t>
      </w:r>
      <w:r>
        <w:t xml:space="preserve"> </w:t>
      </w:r>
      <w:r>
        <w:t xml:space="preserve">— l’identifiant public est verrouillé après inscription, impossible à modifier par l’utilisateur</w:t>
      </w:r>
    </w:p>
    <w:bookmarkEnd w:id="41"/>
    <w:bookmarkStart w:id="42"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7"/>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 vérifie toujours ton</w:t>
      </w:r>
      <w:r>
        <w:t xml:space="preserve"> </w:t>
      </w:r>
      <w:r>
        <w:rPr>
          <w:rStyle w:val="VerbatimChar"/>
        </w:rPr>
        <w:t xml:space="preserve">/etc/sudoers.d/</w:t>
      </w:r>
      <w:r>
        <w:t xml:space="preserve"> </w:t>
      </w:r>
      <w:r>
        <w:t xml:space="preserve">à l’installation.</w:t>
      </w:r>
    </w:p>
    <w:p>
      <w:pPr>
        <w:pStyle w:val="Compact"/>
        <w:numPr>
          <w:ilvl w:val="0"/>
          <w:numId w:val="1017"/>
        </w:numPr>
      </w:pPr>
      <w:r>
        <w:t xml:space="preserve">Si un attaquant compromet le compte utilisateur (fuite de clé SSH, vulnérabilité web, etc.), il passe root sans aucune friction</w:t>
      </w:r>
    </w:p>
    <w:p>
      <w:pPr>
        <w:pStyle w:val="Compact"/>
        <w:numPr>
          <w:ilvl w:val="0"/>
          <w:numId w:val="1017"/>
        </w:numPr>
      </w:pPr>
      <w:r>
        <w:t xml:space="preserve">Avec root : accès direct à la base de données, remplacement des hash de mot de passe, modification du code,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8"/>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8"/>
        </w:numPr>
      </w:pPr>
      <w:r>
        <w:t xml:space="preserve">Définir une passphrase diceware forte (minimum 6 mots, 8 recommandés) comme mot de passe de l’utilisateur sudo</w:t>
      </w:r>
    </w:p>
    <w:p>
      <w:pPr>
        <w:pStyle w:val="Compact"/>
        <w:numPr>
          <w:ilvl w:val="0"/>
          <w:numId w:val="1018"/>
        </w:numPr>
      </w:pPr>
      <w:r>
        <w:rPr>
          <w:rStyle w:val="VerbatimChar"/>
        </w:rPr>
        <w:t xml:space="preserve">sudo</w:t>
      </w:r>
      <w:r>
        <w:t xml:space="preserve"> </w:t>
      </w:r>
      <w:r>
        <w:t xml:space="preserve">doit exiger cette passphrase pour chaque escalade de privilèges</w:t>
      </w:r>
    </w:p>
    <w:p>
      <w:pPr>
        <w:pStyle w:val="Compact"/>
        <w:numPr>
          <w:ilvl w:val="0"/>
          <w:numId w:val="1018"/>
        </w:numPr>
      </w:pPr>
      <w:r>
        <w:t xml:space="preserve">La passphrase doit être conservée hors ligne uniquement (papier, pas numérique)</w:t>
      </w:r>
    </w:p>
    <w:p>
      <w:pPr>
        <w:pStyle w:val="Compact"/>
        <w:numPr>
          <w:ilvl w:val="0"/>
          <w:numId w:val="1018"/>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"user:votre-passphrase-diceware"</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2"/>
    <w:bookmarkStart w:id="43"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9"/>
        </w:numPr>
      </w:pPr>
      <w:r>
        <w:t xml:space="preserve">L’utilisateur traite son mot de récupération comme une clé de maison — pas sur un post-it, pas partagée dans un chat</w:t>
      </w:r>
    </w:p>
    <w:p>
      <w:pPr>
        <w:pStyle w:val="Compact"/>
        <w:numPr>
          <w:ilvl w:val="0"/>
          <w:numId w:val="1019"/>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9"/>
        </w:numPr>
      </w:pPr>
      <w:r>
        <w:t xml:space="preserve">Le rate limiting et l’escalade L2→L3 freinent les tentatives de force brute</w:t>
      </w:r>
    </w:p>
    <w:p>
      <w:pPr>
        <w:pStyle w:val="Compact"/>
        <w:numPr>
          <w:ilvl w:val="0"/>
          <w:numId w:val="1019"/>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3"/>
    <w:bookmarkStart w:id="44" w:name="autres-limites-par-conception"/>
    <w:p>
      <w:pPr>
        <w:pStyle w:val="Heading3"/>
      </w:pPr>
      <w:r>
        <w:t xml:space="preserve">10.4 Autres limites (par conception)</w:t>
      </w:r>
    </w:p>
    <w:p>
      <w:pPr>
        <w:pStyle w:val="Compact"/>
        <w:numPr>
          <w:ilvl w:val="0"/>
          <w:numId w:val="1020"/>
        </w:numPr>
      </w:pPr>
      <w:r>
        <w:t xml:space="preserve">Si l’utilisateur oublie à la fois son mot de récupération et sa passphrase et échoue au scoring L3 : l’admin est le seul recours</w:t>
      </w:r>
    </w:p>
    <w:p>
      <w:pPr>
        <w:pStyle w:val="Compact"/>
        <w:numPr>
          <w:ilvl w:val="0"/>
          <w:numId w:val="1020"/>
        </w:numPr>
      </w:pPr>
      <w:r>
        <w:t xml:space="preserve">Les utilisateurs changeant fréquemment d’appareil perdent les bonus passifs de fingerprint</w:t>
      </w:r>
    </w:p>
    <w:p>
      <w:pPr>
        <w:pStyle w:val="FirstParagraph"/>
      </w:pPr>
      <w:r>
        <w:t xml:space="preserve">Ces limites sont voulues. Un système avec des recours infinis a une surface d’attaque infinie.</w:t>
      </w:r>
    </w:p>
    <w:p>
      <w:r>
        <w:pict>
          <v:rect style="width:0;height:1.5pt" o:hralign="center" o:hrstd="t" o:hr="t"/>
        </w:pict>
      </w:r>
    </w:p>
    <w:bookmarkEnd w:id="44"/>
    <w:bookmarkEnd w:id="45"/>
    <w:bookmarkStart w:id="50"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6" w:name="accès-serveur"/>
    <w:p>
      <w:pPr>
        <w:pStyle w:val="Heading3"/>
      </w:pPr>
      <w:r>
        <w:t xml:space="preserve">11.1 Accès serveur</w:t>
      </w:r>
    </w:p>
    <w:p>
      <w:pPr>
        <w:pStyle w:val="Compact"/>
        <w:numPr>
          <w:ilvl w:val="0"/>
          <w:numId w:val="1021"/>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1"/>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1"/>
        </w:numPr>
      </w:pPr>
      <w:r>
        <w:t xml:space="preserve">☐ Firewall actif (UFW / iptables) — exposer uniquement les ports 80, 443 et SSH</w:t>
      </w:r>
    </w:p>
    <w:bookmarkEnd w:id="46"/>
    <w:bookmarkStart w:id="47" w:name="base-de-données"/>
    <w:p>
      <w:pPr>
        <w:pStyle w:val="Heading3"/>
      </w:pPr>
      <w:r>
        <w:t xml:space="preserve">11.2 Base de données</w:t>
      </w:r>
    </w:p>
    <w:p>
      <w:pPr>
        <w:pStyle w:val="Compact"/>
        <w:numPr>
          <w:ilvl w:val="0"/>
          <w:numId w:val="1022"/>
        </w:numPr>
      </w:pPr>
      <w:r>
        <w:t xml:space="preserve">☐ Prepared statements (PDO / requêtes paramétrées) pour TOUTES les requêtes SQL — sans exception</w:t>
      </w:r>
    </w:p>
    <w:p>
      <w:pPr>
        <w:pStyle w:val="Compact"/>
        <w:numPr>
          <w:ilvl w:val="0"/>
          <w:numId w:val="1022"/>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2"/>
        </w:numPr>
      </w:pPr>
      <w:r>
        <w:t xml:space="preserve">☐ Pas de phpMyAdmin ou Adminer exposé sur internet</w:t>
      </w:r>
    </w:p>
    <w:p>
      <w:pPr>
        <w:pStyle w:val="Compact"/>
        <w:numPr>
          <w:ilvl w:val="0"/>
          <w:numId w:val="1022"/>
        </w:numPr>
      </w:pPr>
      <w:r>
        <w:t xml:space="preserve">☐ Backups chiffrés au repos (gpg ou openssl) — un dump en clair est une faille</w:t>
      </w:r>
    </w:p>
    <w:p>
      <w:pPr>
        <w:pStyle w:val="Compact"/>
        <w:numPr>
          <w:ilvl w:val="0"/>
          <w:numId w:val="1022"/>
        </w:numPr>
      </w:pPr>
      <w:r>
        <w:t xml:space="preserve">☐ Stockage des backups isolé du web root — pas accessible via HTTP</w:t>
      </w:r>
    </w:p>
    <w:bookmarkEnd w:id="47"/>
    <w:bookmarkStart w:id="48" w:name="application"/>
    <w:p>
      <w:pPr>
        <w:pStyle w:val="Heading3"/>
      </w:pPr>
      <w:r>
        <w:t xml:space="preserve">11.3 Application</w:t>
      </w:r>
    </w:p>
    <w:p>
      <w:pPr>
        <w:pStyle w:val="Compact"/>
        <w:numPr>
          <w:ilvl w:val="0"/>
          <w:numId w:val="1023"/>
        </w:numPr>
      </w:pPr>
      <w:r>
        <w:t xml:space="preserve">☐ HTTPS obligatoire — en mode</w:t>
      </w:r>
      <w:r>
        <w:t xml:space="preserve"> </w:t>
      </w:r>
      <w:r>
        <w:rPr>
          <w:rStyle w:val="VerbatimChar"/>
        </w:rPr>
        <w:t xml:space="preserve">'hostname'</w:t>
      </w:r>
      <w:r>
        <w:t xml:space="preserve"> </w:t>
      </w:r>
      <w:r>
        <w:t xml:space="preserve">la dérivation lit le nom d’hôte, et sans TLS rien ne garantit que la page servie vient bien de ce service</w:t>
      </w:r>
    </w:p>
    <w:p>
      <w:pPr>
        <w:pStyle w:val="Compact"/>
        <w:numPr>
          <w:ilvl w:val="0"/>
          <w:numId w:val="1023"/>
        </w:numPr>
      </w:pPr>
      <w:r>
        <w:t xml:space="preserve">☐ Rate limiting sur tous les endpoints de recovery (nginx</w:t>
      </w:r>
      <w:r>
        <w:t xml:space="preserve"> </w:t>
      </w:r>
      <w:r>
        <w:rPr>
          <w:rStyle w:val="VerbatimChar"/>
        </w:rPr>
        <w:t xml:space="preserve">limit_req</w:t>
      </w:r>
      <w:r>
        <w:t xml:space="preserve"> </w:t>
      </w:r>
      <w:r>
        <w:t xml:space="preserve">ou applicatif)</w:t>
      </w:r>
    </w:p>
    <w:p>
      <w:pPr>
        <w:pStyle w:val="Compact"/>
        <w:numPr>
          <w:ilvl w:val="0"/>
          <w:numId w:val="1023"/>
        </w:numPr>
      </w:pPr>
      <w:r>
        <w:t xml:space="preserve">☐ Headers de sécurité : CSP, X-Frame-Options, X-Content-Type-Options, Referrer-Policy</w:t>
      </w:r>
    </w:p>
    <w:p>
      <w:pPr>
        <w:pStyle w:val="Compact"/>
        <w:numPr>
          <w:ilvl w:val="0"/>
          <w:numId w:val="1023"/>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3"/>
        </w:numPr>
      </w:pPr>
      <w:r>
        <w:t xml:space="preserve">☐ Scripts init et migration bloqués en production (deny all ou supprimer)</w:t>
      </w:r>
    </w:p>
    <w:bookmarkEnd w:id="48"/>
    <w:bookmarkStart w:id="49" w:name="monitoring"/>
    <w:p>
      <w:pPr>
        <w:pStyle w:val="Heading3"/>
      </w:pPr>
      <w:r>
        <w:t xml:space="preserve">11.4 Monitoring</w:t>
      </w:r>
    </w:p>
    <w:p>
      <w:pPr>
        <w:pStyle w:val="Compact"/>
        <w:numPr>
          <w:ilvl w:val="0"/>
          <w:numId w:val="1024"/>
        </w:numPr>
      </w:pPr>
      <w:r>
        <w:t xml:space="preserve">☐ Logger toutes les tentatives de recovery (niveau, succès/échec, IP — jamais le mot de récupération)</w:t>
      </w:r>
    </w:p>
    <w:p>
      <w:pPr>
        <w:pStyle w:val="Compact"/>
        <w:numPr>
          <w:ilvl w:val="0"/>
          <w:numId w:val="1024"/>
        </w:numPr>
      </w:pPr>
      <w:r>
        <w:t xml:space="preserve">☐ Alerter sur les échecs répétés L2/L3 pour un même compte</w:t>
      </w:r>
    </w:p>
    <w:p>
      <w:pPr>
        <w:pStyle w:val="Compact"/>
        <w:numPr>
          <w:ilvl w:val="0"/>
          <w:numId w:val="1024"/>
        </w:numPr>
      </w:pPr>
      <w:r>
        <w:t xml:space="preserve">☐ Vérification automatisée des backups (test de restauration périodique)</w:t>
      </w:r>
    </w:p>
    <w:p>
      <w:pPr>
        <w:pStyle w:val="FirstParagraph"/>
      </w:pPr>
      <w:r>
        <w:t xml:space="preserve">Un déploiement qui ignore cette checklist n’est pas un déploiement SelfRecover — c’est une passoire.</w:t>
      </w:r>
    </w:p>
    <w:p>
      <w:r>
        <w:pict>
          <v:rect style="width:0;height:1.5pt" o:hralign="center" o:hrstd="t" o:hr="t"/>
        </w:pict>
      </w:r>
    </w:p>
    <w:bookmarkEnd w:id="49"/>
    <w:bookmarkEnd w:id="50"/>
    <w:bookmarkStart w:id="55" w:name="guide-dintégration"/>
    <w:p>
      <w:pPr>
        <w:pStyle w:val="Heading2"/>
      </w:pPr>
      <w:r>
        <w:t xml:space="preserve">12. Guide d’intégration</w:t>
      </w:r>
    </w:p>
    <w:bookmarkStart w:id="51"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L’implémentation de référence est en PHP ; il n’en existe pas d’autre côté serveur</w:t>
      </w:r>
    </w:p>
    <w:p>
      <w:pPr>
        <w:pStyle w:val="Compact"/>
        <w:numPr>
          <w:ilvl w:val="0"/>
          <w:numId w:val="1025"/>
        </w:numPr>
      </w:pPr>
      <w:r>
        <w:t xml:space="preserve">Base de données SQL (MySQL, MariaDB, PostgreSQL, SQLite)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p>
    <w:p>
      <w:pPr>
        <w:pStyle w:val="Compact"/>
        <w:numPr>
          <w:ilvl w:val="0"/>
          <w:numId w:val="1025"/>
        </w:numPr>
      </w:pPr>
      <w:r>
        <w:t xml:space="preserve">HTTPS obligatoire en production</w:t>
      </w:r>
    </w:p>
    <w:bookmarkEnd w:id="51"/>
    <w:bookmarkStart w:id="54"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Voir</w:t>
      </w:r>
      <w:r>
        <w:t xml:space="preserve"> </w:t>
      </w:r>
      <w:hyperlink r:id="rId52">
        <w:r>
          <w:rPr>
            <w:rStyle w:val="Hyperlink"/>
          </w:rPr>
          <w:t xml:space="preserve">MySelf-Lab</w:t>
        </w:r>
      </w:hyperlink>
      <w:r>
        <w:t xml:space="preserve"> </w:t>
      </w:r>
      <w:r>
        <w:t xml:space="preserve">pour une implémentation de référence à étudier, et</w:t>
      </w:r>
      <w:r>
        <w:t xml:space="preserve"> </w:t>
      </w:r>
      <w:hyperlink r:id="rId53">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4"/>
    <w:bookmarkEnd w:id="55"/>
    <w:bookmarkStart w:id="56"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56"/>
    <w:bookmarkStart w:id="57" w:name="feuille-de-route"/>
    <w:p>
      <w:pPr>
        <w:pStyle w:val="Heading2"/>
      </w:pPr>
      <w:r>
        <w:t xml:space="preserve">14. Feuille de route</w:t>
      </w:r>
    </w:p>
    <w:p>
      <w:pPr>
        <w:pStyle w:val="Compact"/>
        <w:numPr>
          <w:ilvl w:val="0"/>
          <w:numId w:val="1026"/>
        </w:numPr>
      </w:pPr>
      <w:r>
        <w:t xml:space="preserve">☒ Spécification du protocole (v1.1)</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standalone (L1 + L2)</w:t>
      </w:r>
    </w:p>
    <w:p>
      <w:pPr>
        <w:pStyle w:val="Compact"/>
        <w:numPr>
          <w:ilvl w:val="0"/>
          <w:numId w:val="1026"/>
        </w:numPr>
      </w:pPr>
      <w:r>
        <w:t xml:space="preserve">☐ Audit de sécurité (communauté bienvenue)</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57"/>
    <w:bookmarkStart w:id="58"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que votre identité ne devrait pas dépendre d’une boîte mail.</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demo/lab/" TargetMode="External" /><Relationship Type="http://schemas.openxmlformats.org/officeDocument/2006/relationships/hyperlink" Id="rId53" Target="../tools/" TargetMode="External" /></Relationships>
</file>

<file path=word/_rels/footnotes.xml.rels><?xml version="1.0" encoding="UTF-8"?><Relationships xmlns="http://schemas.openxmlformats.org/package/2006/relationships"><Relationship Type="http://schemas.openxmlformats.org/officeDocument/2006/relationships/hyperlink" Id="rId52" Target="../../../demo/lab/" TargetMode="External" /><Relationship Type="http://schemas.openxmlformats.org/officeDocument/2006/relationships/hyperlink" Id="rId53"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2026-10-02T14:07:37Z</dcterms:created>
  <dcterms:modified xsi:type="dcterms:W3CDTF">2026-10-02T14:07:37Z</dcterms:modified>
</cp:coreProperties>
</file>

<file path=docProps/custom.xml><?xml version="1.0" encoding="utf-8"?>
<Properties xmlns="http://schemas.openxmlformats.org/officeDocument/2006/custom-properties" xmlns:vt="http://schemas.openxmlformats.org/officeDocument/2006/docPropsVTypes"/>
</file>