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eastAsia="Microsoft YaHei"/>
          <w:b/>
          <w:i w:val="0"/>
          <w:color w:val="000000"/>
          <w:sz w:val="46"/>
        </w:rPr>
        <w:t>中国地址生成与 API Key 轮换策略</w:t>
      </w:r>
    </w:p>
    <w:p>
      <w:pPr>
        <w:spacing w:after="280"/>
      </w:pPr>
      <w:r>
        <w:rPr>
          <w:rFonts w:ascii="Calibri" w:hAnsi="Calibri" w:eastAsia="Microsoft YaHei"/>
          <w:b w:val="0"/>
          <w:i w:val="0"/>
          <w:color w:val="667085"/>
          <w:sz w:val="24"/>
        </w:rPr>
        <w:t>中国地址生成 · 自动同步 · API Key 轮换</w:t>
      </w:r>
    </w:p>
    <w:p>
      <w:pPr>
        <w:pBdr>
          <w:bottom w:val="single" w:sz="8" w:color="2E74B5"/>
        </w:pBdr>
        <w:spacing w:after="240"/>
      </w:pPr>
    </w:p>
    <w:tbl>
      <w:tblPr>
        <w:tblW w:type="dxa" w:w="9360"/>
        <w:jc w:val="left"/>
        <w:tblInd w:w="120" w:type="dxa"/>
        <w:tblBorders>
          <w:top w:val="single" w:sz="4" w:color="C8D2DE"/>
          <w:left w:val="single" w:sz="4" w:color="C8D2DE"/>
          <w:bottom w:val="single" w:sz="4" w:color="C8D2DE"/>
          <w:right w:val="single" w:sz="4" w:color="C8D2DE"/>
          <w:insideH w:val="single" w:sz="4" w:color="C8D2DE"/>
          <w:insideV w:val="single" w:sz="4" w:color="C8D2DE"/>
        </w:tblBorders>
        <w:tblLayout w:type="fixed"/>
        <w:tblLook w:firstColumn="1" w:firstRow="1" w:lastColumn="0" w:lastRow="0" w:noHBand="0" w:noVBand="1" w:val="04A0"/>
      </w:tblPr>
      <w:tblGrid>
        <w:gridCol w:w="1700"/>
        <w:gridCol w:w="7660"/>
      </w:tblGrid>
      <w:tr>
        <w:trPr>
          <w:tblHeader w:val="true"/>
        </w:trPr>
        <w:tc>
          <w:tcPr>
            <w:tcW w:type="dxa" w:w="1700"/>
            <w:shd w:fill="E8EEF5" w:val="clear"/>
            <w:tcMar>
              <w:top w:w="80" w:type="dxa"/>
              <w:start w:w="120" w:type="dxa"/>
              <w:bottom w:w="80" w:type="dxa"/>
              <w:end w:w="120" w:type="dxa"/>
            </w:tcMar>
            <w:vAlign w:val="center"/>
          </w:tcPr>
          <w:p>
            <w:pPr>
              <w:spacing w:after="0"/>
            </w:pPr>
            <w:r>
              <w:rPr>
                <w:rFonts w:ascii="Calibri" w:hAnsi="Calibri" w:eastAsia="Microsoft YaHei"/>
                <w:b/>
                <w:i w:val="0"/>
                <w:color w:val="1F4D78"/>
                <w:sz w:val="22"/>
              </w:rPr>
              <w:t>项目</w:t>
            </w:r>
          </w:p>
        </w:tc>
        <w:tc>
          <w:tcPr>
            <w:tcW w:type="dxa" w:w="7660"/>
            <w:shd w:fill="E8EEF5" w:val="clear"/>
            <w:tcMar>
              <w:top w:w="80" w:type="dxa"/>
              <w:start w:w="120" w:type="dxa"/>
              <w:bottom w:w="80" w:type="dxa"/>
              <w:end w:w="120" w:type="dxa"/>
            </w:tcMar>
            <w:vAlign w:val="center"/>
          </w:tcPr>
          <w:p>
            <w:pPr>
              <w:spacing w:after="0"/>
            </w:pPr>
            <w:r>
              <w:rPr>
                <w:rFonts w:ascii="Calibri" w:hAnsi="Calibri" w:eastAsia="Microsoft YaHei"/>
                <w:b/>
                <w:i w:val="0"/>
                <w:color w:val="1F4D78"/>
                <w:sz w:val="22"/>
              </w:rPr>
              <w:t>当前规则</w:t>
            </w:r>
          </w:p>
        </w:tc>
      </w:tr>
      <w:tr>
        <w:tc>
          <w:tcPr>
            <w:tcW w:type="dxa" w:w="1700"/>
            <w:tcMar>
              <w:top w:w="80" w:type="dxa"/>
              <w:start w:w="120" w:type="dxa"/>
              <w:bottom w:w="80" w:type="dxa"/>
              <w:end w:w="120" w:type="dxa"/>
            </w:tcMar>
            <w:vAlign w:val="center"/>
          </w:tcPr>
          <w:p>
            <w:pPr>
              <w:spacing w:after="0" w:line="276" w:lineRule="auto"/>
            </w:pPr>
            <w:r>
              <w:rPr>
                <w:rFonts w:ascii="Calibri" w:hAnsi="Calibri" w:eastAsia="Microsoft YaHei"/>
                <w:b w:val="0"/>
                <w:i w:val="0"/>
                <w:color w:val="000000"/>
                <w:sz w:val="20"/>
              </w:rPr>
              <w:t>策略版本</w:t>
            </w:r>
          </w:p>
        </w:tc>
        <w:tc>
          <w:tcPr>
            <w:tcW w:type="dxa" w:w="7660"/>
            <w:tcMar>
              <w:top w:w="80" w:type="dxa"/>
              <w:start w:w="120" w:type="dxa"/>
              <w:bottom w:w="80" w:type="dxa"/>
              <w:end w:w="120" w:type="dxa"/>
            </w:tcMar>
            <w:vAlign w:val="center"/>
          </w:tcPr>
          <w:p>
            <w:pPr>
              <w:spacing w:after="0" w:line="276" w:lineRule="auto"/>
            </w:pPr>
            <w:r>
              <w:rPr>
                <w:rFonts w:ascii="Calibri" w:hAnsi="Calibri" w:eastAsia="Microsoft YaHei"/>
                <w:b w:val="0"/>
                <w:i w:val="0"/>
                <w:color w:val="000000"/>
                <w:sz w:val="20"/>
              </w:rPr>
              <w:t>1.8 / community-poi-v7</w:t>
            </w:r>
          </w:p>
        </w:tc>
      </w:tr>
      <w:tr>
        <w:tc>
          <w:tcPr>
            <w:tcW w:type="dxa" w:w="1700"/>
            <w:tcMar>
              <w:top w:w="80" w:type="dxa"/>
              <w:start w:w="120" w:type="dxa"/>
              <w:bottom w:w="80" w:type="dxa"/>
              <w:end w:w="120" w:type="dxa"/>
            </w:tcMar>
            <w:vAlign w:val="center"/>
          </w:tcPr>
          <w:p>
            <w:pPr>
              <w:spacing w:after="0" w:line="276" w:lineRule="auto"/>
            </w:pPr>
            <w:r>
              <w:rPr>
                <w:rFonts w:ascii="Calibri" w:hAnsi="Calibri" w:eastAsia="Microsoft YaHei"/>
                <w:b w:val="0"/>
                <w:i w:val="0"/>
                <w:color w:val="000000"/>
                <w:sz w:val="20"/>
              </w:rPr>
              <w:t>行政区主源</w:t>
            </w:r>
          </w:p>
        </w:tc>
        <w:tc>
          <w:tcPr>
            <w:tcW w:type="dxa" w:w="7660"/>
            <w:tcMar>
              <w:top w:w="80" w:type="dxa"/>
              <w:start w:w="120" w:type="dxa"/>
              <w:bottom w:w="80" w:type="dxa"/>
              <w:end w:w="120" w:type="dxa"/>
            </w:tcMar>
            <w:vAlign w:val="center"/>
          </w:tcPr>
          <w:p>
            <w:pPr>
              <w:spacing w:after="0" w:line="276" w:lineRule="auto"/>
            </w:pPr>
            <w:r>
              <w:rPr>
                <w:rFonts w:ascii="Calibri" w:hAnsi="Calibri" w:eastAsia="Microsoft YaHei"/>
                <w:b w:val="0"/>
                <w:i w:val="0"/>
                <w:color w:val="000000"/>
                <w:sz w:val="20"/>
              </w:rPr>
              <w:t>AreaCity/StatsGov；民政部版本页用于对照</w:t>
            </w:r>
          </w:p>
        </w:tc>
      </w:tr>
      <w:tr>
        <w:tc>
          <w:tcPr>
            <w:tcW w:type="dxa" w:w="1700"/>
            <w:tcMar>
              <w:top w:w="80" w:type="dxa"/>
              <w:start w:w="120" w:type="dxa"/>
              <w:bottom w:w="80" w:type="dxa"/>
              <w:end w:w="120" w:type="dxa"/>
            </w:tcMar>
            <w:vAlign w:val="center"/>
          </w:tcPr>
          <w:p>
            <w:pPr>
              <w:spacing w:after="0" w:line="276" w:lineRule="auto"/>
            </w:pPr>
            <w:r>
              <w:rPr>
                <w:rFonts w:ascii="Calibri" w:hAnsi="Calibri" w:eastAsia="Microsoft YaHei"/>
                <w:b w:val="0"/>
                <w:i w:val="0"/>
                <w:color w:val="000000"/>
                <w:sz w:val="20"/>
              </w:rPr>
              <w:t>住宅候选</w:t>
            </w:r>
          </w:p>
        </w:tc>
        <w:tc>
          <w:tcPr>
            <w:tcW w:type="dxa" w:w="7660"/>
            <w:tcMar>
              <w:top w:w="80" w:type="dxa"/>
              <w:start w:w="120" w:type="dxa"/>
              <w:bottom w:w="80" w:type="dxa"/>
              <w:end w:w="120" w:type="dxa"/>
            </w:tcMar>
            <w:vAlign w:val="center"/>
          </w:tcPr>
          <w:p>
            <w:pPr>
              <w:spacing w:after="0" w:line="276" w:lineRule="auto"/>
            </w:pPr>
            <w:r>
              <w:rPr>
                <w:rFonts w:ascii="Calibri" w:hAnsi="Calibri" w:eastAsia="Microsoft YaHei"/>
                <w:b w:val="0"/>
                <w:i w:val="0"/>
                <w:color w:val="000000"/>
                <w:sz w:val="20"/>
              </w:rPr>
              <w:t>高德、百度、腾讯严格住宅 POI；不使用旧 OSM 中国住宅池</w:t>
            </w:r>
          </w:p>
        </w:tc>
      </w:tr>
      <w:tr>
        <w:tc>
          <w:tcPr>
            <w:tcW w:type="dxa" w:w="1700"/>
            <w:tcMar>
              <w:top w:w="80" w:type="dxa"/>
              <w:start w:w="120" w:type="dxa"/>
              <w:bottom w:w="80" w:type="dxa"/>
              <w:end w:w="120" w:type="dxa"/>
            </w:tcMar>
            <w:vAlign w:val="center"/>
          </w:tcPr>
          <w:p>
            <w:pPr>
              <w:spacing w:after="0" w:line="276" w:lineRule="auto"/>
            </w:pPr>
            <w:r>
              <w:rPr>
                <w:rFonts w:ascii="Calibri" w:hAnsi="Calibri" w:eastAsia="Microsoft YaHei"/>
                <w:b w:val="0"/>
                <w:i w:val="0"/>
                <w:color w:val="000000"/>
                <w:sz w:val="20"/>
              </w:rPr>
              <w:t>运行存储</w:t>
            </w:r>
          </w:p>
        </w:tc>
        <w:tc>
          <w:tcPr>
            <w:tcW w:type="dxa" w:w="7660"/>
            <w:tcMar>
              <w:top w:w="80" w:type="dxa"/>
              <w:start w:w="120" w:type="dxa"/>
              <w:bottom w:w="80" w:type="dxa"/>
              <w:end w:w="120" w:type="dxa"/>
            </w:tcMar>
            <w:vAlign w:val="center"/>
          </w:tcPr>
          <w:p>
            <w:pPr>
              <w:spacing w:after="0" w:line="276" w:lineRule="auto"/>
            </w:pPr>
            <w:r>
              <w:rPr>
                <w:rFonts w:ascii="Calibri" w:hAnsi="Calibri" w:eastAsia="Microsoft YaHei"/>
                <w:b w:val="0"/>
                <w:i w:val="0"/>
                <w:color w:val="000000"/>
                <w:sz w:val="20"/>
              </w:rPr>
              <w:t>PostgreSQL 地址与控制数据</w:t>
            </w:r>
          </w:p>
        </w:tc>
      </w:tr>
      <w:tr>
        <w:tc>
          <w:tcPr>
            <w:tcW w:type="dxa" w:w="1700"/>
            <w:tcMar>
              <w:top w:w="80" w:type="dxa"/>
              <w:start w:w="120" w:type="dxa"/>
              <w:bottom w:w="80" w:type="dxa"/>
              <w:end w:w="120" w:type="dxa"/>
            </w:tcMar>
            <w:vAlign w:val="center"/>
          </w:tcPr>
          <w:p>
            <w:pPr>
              <w:spacing w:after="0" w:line="276" w:lineRule="auto"/>
            </w:pPr>
            <w:r>
              <w:rPr>
                <w:rFonts w:ascii="Calibri" w:hAnsi="Calibri" w:eastAsia="Microsoft YaHei"/>
                <w:b w:val="0"/>
                <w:i w:val="0"/>
                <w:color w:val="000000"/>
                <w:sz w:val="20"/>
              </w:rPr>
              <w:t>公开读取</w:t>
            </w:r>
          </w:p>
        </w:tc>
        <w:tc>
          <w:tcPr>
            <w:tcW w:type="dxa" w:w="7660"/>
            <w:tcMar>
              <w:top w:w="80" w:type="dxa"/>
              <w:start w:w="120" w:type="dxa"/>
              <w:bottom w:w="80" w:type="dxa"/>
              <w:end w:w="120" w:type="dxa"/>
            </w:tcMar>
            <w:vAlign w:val="center"/>
          </w:tcPr>
          <w:p>
            <w:pPr>
              <w:spacing w:after="0" w:line="276" w:lineRule="auto"/>
            </w:pPr>
            <w:r>
              <w:rPr>
                <w:rFonts w:ascii="Calibri" w:hAnsi="Calibri" w:eastAsia="Microsoft YaHei"/>
                <w:b w:val="0"/>
                <w:i w:val="0"/>
                <w:color w:val="000000"/>
                <w:sz w:val="20"/>
              </w:rPr>
              <w:t>只读已发布且未过期的合格记录；随机范围覆盖全部合格地址</w:t>
            </w:r>
          </w:p>
        </w:tc>
      </w:tr>
      <w:tr>
        <w:tc>
          <w:tcPr>
            <w:tcW w:type="dxa" w:w="1700"/>
            <w:tcMar>
              <w:top w:w="80" w:type="dxa"/>
              <w:start w:w="120" w:type="dxa"/>
              <w:bottom w:w="80" w:type="dxa"/>
              <w:end w:w="120" w:type="dxa"/>
            </w:tcMar>
            <w:vAlign w:val="center"/>
          </w:tcPr>
          <w:p>
            <w:pPr>
              <w:spacing w:after="0" w:line="276" w:lineRule="auto"/>
            </w:pPr>
            <w:r>
              <w:rPr>
                <w:rFonts w:ascii="Calibri" w:hAnsi="Calibri" w:eastAsia="Microsoft YaHei"/>
                <w:b w:val="0"/>
                <w:i w:val="0"/>
                <w:color w:val="000000"/>
                <w:sz w:val="20"/>
              </w:rPr>
              <w:t>更新时间</w:t>
            </w:r>
          </w:p>
        </w:tc>
        <w:tc>
          <w:tcPr>
            <w:tcW w:type="dxa" w:w="7660"/>
            <w:tcMar>
              <w:top w:w="80" w:type="dxa"/>
              <w:start w:w="120" w:type="dxa"/>
              <w:bottom w:w="80" w:type="dxa"/>
              <w:end w:w="120" w:type="dxa"/>
            </w:tcMar>
            <w:vAlign w:val="center"/>
          </w:tcPr>
          <w:p>
            <w:pPr>
              <w:spacing w:after="0" w:line="276" w:lineRule="auto"/>
            </w:pPr>
            <w:r>
              <w:rPr>
                <w:rFonts w:ascii="Calibri" w:hAnsi="Calibri" w:eastAsia="Microsoft YaHei"/>
                <w:b w:val="0"/>
                <w:i w:val="0"/>
                <w:color w:val="000000"/>
                <w:sz w:val="20"/>
              </w:rPr>
              <w:t>2026-08-03</w:t>
            </w:r>
          </w:p>
        </w:tc>
      </w:tr>
    </w:tbl>
    <w:p>
      <w:pPr>
        <w:spacing w:after="0"/>
      </w:pPr>
    </w:p>
    <w:p>
      <w:pPr>
        <w:pStyle w:val="Heading1"/>
      </w:pPr>
      <w:r>
        <w:t>1. 地址生成</w:t>
      </w:r>
    </w:p>
    <w:p>
      <w:pPr>
        <w:spacing w:before="0" w:after="120" w:line="300" w:lineRule="auto"/>
      </w:pPr>
      <w:r>
        <w:rPr>
          <w:rFonts w:ascii="Calibri" w:hAnsi="Calibri" w:eastAsia="Microsoft YaHei"/>
          <w:b w:val="0"/>
          <w:i w:val="0"/>
          <w:color w:val="000000"/>
          <w:sz w:val="22"/>
        </w:rPr>
        <w:t>系统从通过住宅分类、行政区、数字门牌、坐标和黑名单校验的平台记录中生成中国地址，并分别保存来源字段与合成室内字段。</w:t>
      </w:r>
    </w:p>
    <w:p>
      <w:pPr>
        <w:pStyle w:val="ListBullet"/>
        <w:spacing w:after="80" w:line="300" w:lineRule="auto"/>
        <w:ind w:left="540" w:hanging="271"/>
      </w:pPr>
      <w:r>
        <w:rPr>
          <w:rFonts w:ascii="Calibri" w:hAnsi="Calibri" w:eastAsia="Microsoft YaHei"/>
          <w:b w:val="0"/>
          <w:i w:val="0"/>
          <w:color w:val="000000"/>
          <w:sz w:val="22"/>
        </w:rPr>
        <w:t>省、市、区县、街道/道路、数字门牌、小区名称和坐标来自合格平台记录及行政区关系。</w:t>
      </w:r>
    </w:p>
    <w:p>
      <w:pPr>
        <w:pStyle w:val="ListBullet"/>
        <w:spacing w:after="80" w:line="300" w:lineRule="auto"/>
        <w:ind w:left="540" w:hanging="271"/>
      </w:pPr>
      <w:r>
        <w:rPr>
          <w:rFonts w:ascii="Calibri" w:hAnsi="Calibri" w:eastAsia="Microsoft YaHei"/>
          <w:b w:val="0"/>
          <w:i w:val="0"/>
          <w:color w:val="000000"/>
          <w:sz w:val="22"/>
        </w:rPr>
        <w:t>中国住宅模式可生成 1–3 栋、1–3 单元、2–6 楼范围内的房间后缀；响应明确标记 synthetic，不覆盖来源地址。</w:t>
      </w:r>
    </w:p>
    <w:p>
      <w:pPr>
        <w:pStyle w:val="ListBullet"/>
        <w:spacing w:after="80" w:line="300" w:lineRule="auto"/>
        <w:ind w:left="540" w:hanging="271"/>
      </w:pPr>
      <w:r>
        <w:rPr>
          <w:rFonts w:ascii="Calibri" w:hAnsi="Calibri" w:eastAsia="Microsoft YaHei"/>
          <w:b w:val="0"/>
          <w:i w:val="0"/>
          <w:color w:val="000000"/>
          <w:sz w:val="22"/>
        </w:rPr>
        <w:t>中国不合成邮编；筛选无覆盖时返回错误，不替换成其他城市、省份或全国地址。</w:t>
      </w:r>
    </w:p>
    <w:p>
      <w:pPr>
        <w:pStyle w:val="Heading1"/>
      </w:pPr>
      <w:r>
        <w:t>2. 数据流与 PostgreSQL</w:t>
      </w:r>
    </w:p>
    <w:tbl>
      <w:tblPr>
        <w:tblW w:type="dxa" w:w="9360"/>
        <w:jc w:val="left"/>
        <w:tblInd w:w="120" w:type="dxa"/>
        <w:tblBorders>
          <w:top w:val="single" w:sz="4" w:color="C8D2DE"/>
          <w:left w:val="single" w:sz="4" w:color="C8D2DE"/>
          <w:bottom w:val="single" w:sz="4" w:color="C8D2DE"/>
          <w:right w:val="single" w:sz="4" w:color="C8D2DE"/>
          <w:insideH w:val="single" w:sz="4" w:color="C8D2DE"/>
          <w:insideV w:val="single" w:sz="4" w:color="C8D2DE"/>
        </w:tblBorders>
        <w:tblLayout w:type="fixed"/>
        <w:tblLook w:firstColumn="1" w:firstRow="1" w:lastColumn="0" w:lastRow="0" w:noHBand="0" w:noVBand="1" w:val="04A0"/>
      </w:tblPr>
      <w:tblGrid>
        <w:gridCol w:w="1700"/>
        <w:gridCol w:w="7660"/>
      </w:tblGrid>
      <w:tr>
        <w:trPr>
          <w:tblHeader w:val="true"/>
        </w:trPr>
        <w:tc>
          <w:tcPr>
            <w:tcW w:type="dxa" w:w="1700"/>
            <w:shd w:fill="E8EEF5" w:val="clear"/>
            <w:tcMar>
              <w:top w:w="80" w:type="dxa"/>
              <w:start w:w="120" w:type="dxa"/>
              <w:bottom w:w="80" w:type="dxa"/>
              <w:end w:w="120" w:type="dxa"/>
            </w:tcMar>
            <w:vAlign w:val="center"/>
          </w:tcPr>
          <w:p>
            <w:pPr>
              <w:spacing w:after="0"/>
            </w:pPr>
            <w:r>
              <w:rPr>
                <w:rFonts w:ascii="Calibri" w:hAnsi="Calibri" w:eastAsia="Microsoft YaHei"/>
                <w:b/>
                <w:i w:val="0"/>
                <w:color w:val="1F4D78"/>
                <w:sz w:val="22"/>
              </w:rPr>
              <w:t>阶段</w:t>
            </w:r>
          </w:p>
        </w:tc>
        <w:tc>
          <w:tcPr>
            <w:tcW w:type="dxa" w:w="7660"/>
            <w:shd w:fill="E8EEF5" w:val="clear"/>
            <w:tcMar>
              <w:top w:w="80" w:type="dxa"/>
              <w:start w:w="120" w:type="dxa"/>
              <w:bottom w:w="80" w:type="dxa"/>
              <w:end w:w="120" w:type="dxa"/>
            </w:tcMar>
            <w:vAlign w:val="center"/>
          </w:tcPr>
          <w:p>
            <w:pPr>
              <w:spacing w:after="0"/>
            </w:pPr>
            <w:r>
              <w:rPr>
                <w:rFonts w:ascii="Calibri" w:hAnsi="Calibri" w:eastAsia="Microsoft YaHei"/>
                <w:b/>
                <w:i w:val="0"/>
                <w:color w:val="1F4D78"/>
                <w:sz w:val="22"/>
              </w:rPr>
              <w:t>处理</w:t>
            </w:r>
          </w:p>
        </w:tc>
      </w:tr>
      <w:tr>
        <w:tc>
          <w:tcPr>
            <w:tcW w:type="dxa" w:w="1700"/>
            <w:tcMar>
              <w:top w:w="80" w:type="dxa"/>
              <w:start w:w="120" w:type="dxa"/>
              <w:bottom w:w="80" w:type="dxa"/>
              <w:end w:w="120" w:type="dxa"/>
            </w:tcMar>
            <w:vAlign w:val="center"/>
          </w:tcPr>
          <w:p>
            <w:pPr>
              <w:spacing w:after="0" w:line="276" w:lineRule="auto"/>
            </w:pPr>
            <w:r>
              <w:rPr>
                <w:rFonts w:ascii="Calibri" w:hAnsi="Calibri" w:eastAsia="Microsoft YaHei"/>
                <w:b w:val="0"/>
                <w:i w:val="0"/>
                <w:color w:val="000000"/>
                <w:sz w:val="20"/>
              </w:rPr>
              <w:t>发现</w:t>
            </w:r>
          </w:p>
        </w:tc>
        <w:tc>
          <w:tcPr>
            <w:tcW w:type="dxa" w:w="7660"/>
            <w:tcMar>
              <w:top w:w="80" w:type="dxa"/>
              <w:start w:w="120" w:type="dxa"/>
              <w:bottom w:w="80" w:type="dxa"/>
              <w:end w:w="120" w:type="dxa"/>
            </w:tcMar>
            <w:vAlign w:val="center"/>
          </w:tcPr>
          <w:p>
            <w:pPr>
              <w:spacing w:after="0" w:line="276" w:lineRule="auto"/>
            </w:pPr>
            <w:r>
              <w:rPr>
                <w:rFonts w:ascii="Calibri" w:hAnsi="Calibri" w:eastAsia="Microsoft YaHei"/>
                <w:b w:val="0"/>
                <w:i w:val="0"/>
                <w:color w:val="000000"/>
                <w:sz w:val="20"/>
              </w:rPr>
              <w:t>AreaCity 版本检查；按 6 位区县 adcode 生成同步目标。</w:t>
            </w:r>
          </w:p>
        </w:tc>
      </w:tr>
      <w:tr>
        <w:tc>
          <w:tcPr>
            <w:tcW w:type="dxa" w:w="1700"/>
            <w:tcMar>
              <w:top w:w="80" w:type="dxa"/>
              <w:start w:w="120" w:type="dxa"/>
              <w:bottom w:w="80" w:type="dxa"/>
              <w:end w:w="120" w:type="dxa"/>
            </w:tcMar>
            <w:vAlign w:val="center"/>
          </w:tcPr>
          <w:p>
            <w:pPr>
              <w:spacing w:after="0" w:line="276" w:lineRule="auto"/>
            </w:pPr>
            <w:r>
              <w:rPr>
                <w:rFonts w:ascii="Calibri" w:hAnsi="Calibri" w:eastAsia="Microsoft YaHei"/>
                <w:b w:val="0"/>
                <w:i w:val="0"/>
                <w:color w:val="000000"/>
                <w:sz w:val="20"/>
              </w:rPr>
              <w:t>采集</w:t>
            </w:r>
          </w:p>
        </w:tc>
        <w:tc>
          <w:tcPr>
            <w:tcW w:type="dxa" w:w="7660"/>
            <w:tcMar>
              <w:top w:w="80" w:type="dxa"/>
              <w:start w:w="120" w:type="dxa"/>
              <w:bottom w:w="80" w:type="dxa"/>
              <w:end w:w="120" w:type="dxa"/>
            </w:tcMar>
            <w:vAlign w:val="center"/>
          </w:tcPr>
          <w:p>
            <w:pPr>
              <w:spacing w:after="0" w:line="276" w:lineRule="auto"/>
            </w:pPr>
            <w:r>
              <w:rPr>
                <w:rFonts w:ascii="Calibri" w:hAnsi="Calibri" w:eastAsia="Microsoft YaHei"/>
                <w:b w:val="0"/>
                <w:i w:val="0"/>
                <w:color w:val="000000"/>
                <w:sz w:val="20"/>
              </w:rPr>
              <w:t>逐平台、逐 Key、逐页获取候选；保存规范字段、判定和拒绝原因，不保存完整原始响应。</w:t>
            </w:r>
          </w:p>
        </w:tc>
      </w:tr>
      <w:tr>
        <w:tc>
          <w:tcPr>
            <w:tcW w:type="dxa" w:w="1700"/>
            <w:tcMar>
              <w:top w:w="80" w:type="dxa"/>
              <w:start w:w="120" w:type="dxa"/>
              <w:bottom w:w="80" w:type="dxa"/>
              <w:end w:w="120" w:type="dxa"/>
            </w:tcMar>
            <w:vAlign w:val="center"/>
          </w:tcPr>
          <w:p>
            <w:pPr>
              <w:spacing w:after="0" w:line="276" w:lineRule="auto"/>
            </w:pPr>
            <w:r>
              <w:rPr>
                <w:rFonts w:ascii="Calibri" w:hAnsi="Calibri" w:eastAsia="Microsoft YaHei"/>
                <w:b w:val="0"/>
                <w:i w:val="0"/>
                <w:color w:val="000000"/>
                <w:sz w:val="20"/>
              </w:rPr>
              <w:t>验证</w:t>
            </w:r>
          </w:p>
        </w:tc>
        <w:tc>
          <w:tcPr>
            <w:tcW w:type="dxa" w:w="7660"/>
            <w:tcMar>
              <w:top w:w="80" w:type="dxa"/>
              <w:start w:w="120" w:type="dxa"/>
              <w:bottom w:w="80" w:type="dxa"/>
              <w:end w:w="120" w:type="dxa"/>
            </w:tcMar>
            <w:vAlign w:val="center"/>
          </w:tcPr>
          <w:p>
            <w:pPr>
              <w:spacing w:after="0" w:line="276" w:lineRule="auto"/>
            </w:pPr>
            <w:r>
              <w:rPr>
                <w:rFonts w:ascii="Calibri" w:hAnsi="Calibri" w:eastAsia="Microsoft YaHei"/>
                <w:b w:val="0"/>
                <w:i w:val="0"/>
                <w:color w:val="000000"/>
                <w:sz w:val="20"/>
              </w:rPr>
              <w:t>检查住宅分类、名称、行政层、数字门牌、坐标、黑名单和国家边界。</w:t>
            </w:r>
          </w:p>
        </w:tc>
      </w:tr>
      <w:tr>
        <w:tc>
          <w:tcPr>
            <w:tcW w:type="dxa" w:w="1700"/>
            <w:tcMar>
              <w:top w:w="80" w:type="dxa"/>
              <w:start w:w="120" w:type="dxa"/>
              <w:bottom w:w="80" w:type="dxa"/>
              <w:end w:w="120" w:type="dxa"/>
            </w:tcMar>
            <w:vAlign w:val="center"/>
          </w:tcPr>
          <w:p>
            <w:pPr>
              <w:spacing w:after="0" w:line="276" w:lineRule="auto"/>
            </w:pPr>
            <w:r>
              <w:rPr>
                <w:rFonts w:ascii="Calibri" w:hAnsi="Calibri" w:eastAsia="Microsoft YaHei"/>
                <w:b w:val="0"/>
                <w:i w:val="0"/>
                <w:color w:val="000000"/>
                <w:sz w:val="20"/>
              </w:rPr>
              <w:t>合并</w:t>
            </w:r>
          </w:p>
        </w:tc>
        <w:tc>
          <w:tcPr>
            <w:tcW w:type="dxa" w:w="7660"/>
            <w:tcMar>
              <w:top w:w="80" w:type="dxa"/>
              <w:start w:w="120" w:type="dxa"/>
              <w:bottom w:w="80" w:type="dxa"/>
              <w:end w:w="120" w:type="dxa"/>
            </w:tcMar>
            <w:vAlign w:val="center"/>
          </w:tcPr>
          <w:p>
            <w:pPr>
              <w:spacing w:after="0" w:line="276" w:lineRule="auto"/>
            </w:pPr>
            <w:r>
              <w:rPr>
                <w:rFonts w:ascii="Calibri" w:hAnsi="Calibri" w:eastAsia="Microsoft YaHei"/>
                <w:b w:val="0"/>
                <w:i w:val="0"/>
                <w:color w:val="000000"/>
                <w:sz w:val="20"/>
              </w:rPr>
              <w:t>同城同区、规范名称接近、距离不超过 300 米且门牌一致时合并来源。</w:t>
            </w:r>
          </w:p>
        </w:tc>
      </w:tr>
      <w:tr>
        <w:tc>
          <w:tcPr>
            <w:tcW w:type="dxa" w:w="1700"/>
            <w:tcMar>
              <w:top w:w="80" w:type="dxa"/>
              <w:start w:w="120" w:type="dxa"/>
              <w:bottom w:w="80" w:type="dxa"/>
              <w:end w:w="120" w:type="dxa"/>
            </w:tcMar>
            <w:vAlign w:val="center"/>
          </w:tcPr>
          <w:p>
            <w:pPr>
              <w:spacing w:after="0" w:line="276" w:lineRule="auto"/>
            </w:pPr>
            <w:r>
              <w:rPr>
                <w:rFonts w:ascii="Calibri" w:hAnsi="Calibri" w:eastAsia="Microsoft YaHei"/>
                <w:b w:val="0"/>
                <w:i w:val="0"/>
                <w:color w:val="000000"/>
                <w:sz w:val="20"/>
              </w:rPr>
              <w:t>发布</w:t>
            </w:r>
          </w:p>
        </w:tc>
        <w:tc>
          <w:tcPr>
            <w:tcW w:type="dxa" w:w="7660"/>
            <w:tcMar>
              <w:top w:w="80" w:type="dxa"/>
              <w:start w:w="120" w:type="dxa"/>
              <w:bottom w:w="80" w:type="dxa"/>
              <w:end w:w="120" w:type="dxa"/>
            </w:tcMar>
            <w:vAlign w:val="center"/>
          </w:tcPr>
          <w:p>
            <w:pPr>
              <w:spacing w:after="0" w:line="276" w:lineRule="auto"/>
            </w:pPr>
            <w:r>
              <w:rPr>
                <w:rFonts w:ascii="Calibri" w:hAnsi="Calibri" w:eastAsia="Microsoft YaHei"/>
                <w:b w:val="0"/>
                <w:i w:val="0"/>
                <w:color w:val="000000"/>
                <w:sz w:val="20"/>
              </w:rPr>
              <w:t>PostgreSQL 事务更新发布层、覆盖统计和随机索引；失败保留上一份合格快照。</w:t>
            </w:r>
          </w:p>
        </w:tc>
      </w:tr>
      <w:tr>
        <w:tc>
          <w:tcPr>
            <w:tcW w:type="dxa" w:w="1700"/>
            <w:tcMar>
              <w:top w:w="80" w:type="dxa"/>
              <w:start w:w="120" w:type="dxa"/>
              <w:bottom w:w="80" w:type="dxa"/>
              <w:end w:w="120" w:type="dxa"/>
            </w:tcMar>
            <w:vAlign w:val="center"/>
          </w:tcPr>
          <w:p>
            <w:pPr>
              <w:spacing w:after="0" w:line="276" w:lineRule="auto"/>
            </w:pPr>
            <w:r>
              <w:rPr>
                <w:rFonts w:ascii="Calibri" w:hAnsi="Calibri" w:eastAsia="Microsoft YaHei"/>
                <w:b w:val="0"/>
                <w:i w:val="0"/>
                <w:color w:val="000000"/>
                <w:sz w:val="20"/>
              </w:rPr>
              <w:t>读取</w:t>
            </w:r>
          </w:p>
        </w:tc>
        <w:tc>
          <w:tcPr>
            <w:tcW w:type="dxa" w:w="7660"/>
            <w:tcMar>
              <w:top w:w="80" w:type="dxa"/>
              <w:start w:w="120" w:type="dxa"/>
              <w:bottom w:w="80" w:type="dxa"/>
              <w:end w:w="120" w:type="dxa"/>
            </w:tcMar>
            <w:vAlign w:val="center"/>
          </w:tcPr>
          <w:p>
            <w:pPr>
              <w:spacing w:after="0" w:line="276" w:lineRule="auto"/>
            </w:pPr>
            <w:r>
              <w:rPr>
                <w:rFonts w:ascii="Calibri" w:hAnsi="Calibri" w:eastAsia="Microsoft YaHei"/>
                <w:b w:val="0"/>
                <w:i w:val="0"/>
                <w:color w:val="000000"/>
                <w:sz w:val="20"/>
              </w:rPr>
              <w:t>API 从内存筛选/随机索引选出引用，再按主键读取 PostgreSQL 完整记录。</w:t>
            </w:r>
          </w:p>
        </w:tc>
      </w:tr>
    </w:tbl>
    <w:p>
      <w:pPr>
        <w:spacing w:after="0"/>
      </w:pPr>
    </w:p>
    <w:p>
      <w:pPr>
        <w:spacing w:before="0" w:after="120" w:line="300" w:lineRule="auto"/>
      </w:pPr>
      <w:r>
        <w:rPr>
          <w:rFonts w:ascii="Calibri" w:hAnsi="Calibri" w:eastAsia="Microsoft YaHei"/>
          <w:b w:val="0"/>
          <w:i w:val="0"/>
          <w:color w:val="000000"/>
          <w:sz w:val="22"/>
        </w:rPr>
        <w:t>服务启动可以花费更多时间预热索引；启动完成后的生成、国家切换、筛选和后台读取优先保证低延迟。</w:t>
      </w:r>
    </w:p>
    <w:p>
      <w:pPr>
        <w:pStyle w:val="Heading1"/>
      </w:pPr>
      <w:r>
        <w:t>3. 发布门禁与 L1/L2/L3</w:t>
      </w:r>
    </w:p>
    <w:tbl>
      <w:tblPr>
        <w:tblW w:type="dxa" w:w="9360"/>
        <w:jc w:val="left"/>
        <w:tblInd w:w="120" w:type="dxa"/>
        <w:tblBorders>
          <w:top w:val="single" w:sz="4" w:color="C8D2DE"/>
          <w:left w:val="single" w:sz="4" w:color="C8D2DE"/>
          <w:bottom w:val="single" w:sz="4" w:color="C8D2DE"/>
          <w:right w:val="single" w:sz="4" w:color="C8D2DE"/>
          <w:insideH w:val="single" w:sz="4" w:color="C8D2DE"/>
          <w:insideV w:val="single" w:sz="4" w:color="C8D2DE"/>
        </w:tblBorders>
        <w:tblLayout w:type="fixed"/>
        <w:tblLook w:firstColumn="1" w:firstRow="1" w:lastColumn="0" w:lastRow="0" w:noHBand="0" w:noVBand="1" w:val="04A0"/>
      </w:tblPr>
      <w:tblGrid>
        <w:gridCol w:w="1150"/>
        <w:gridCol w:w="6110"/>
        <w:gridCol w:w="2100"/>
      </w:tblGrid>
      <w:tr>
        <w:trPr>
          <w:tblHeader w:val="true"/>
        </w:trPr>
        <w:tc>
          <w:tcPr>
            <w:tcW w:type="dxa" w:w="1150"/>
            <w:shd w:fill="E8EEF5" w:val="clear"/>
            <w:tcMar>
              <w:top w:w="80" w:type="dxa"/>
              <w:start w:w="120" w:type="dxa"/>
              <w:bottom w:w="80" w:type="dxa"/>
              <w:end w:w="120" w:type="dxa"/>
            </w:tcMar>
            <w:vAlign w:val="center"/>
          </w:tcPr>
          <w:p>
            <w:pPr>
              <w:spacing w:after="0"/>
            </w:pPr>
            <w:r>
              <w:rPr>
                <w:rFonts w:ascii="Calibri" w:hAnsi="Calibri" w:eastAsia="Microsoft YaHei"/>
                <w:b/>
                <w:i w:val="0"/>
                <w:color w:val="1F4D78"/>
                <w:sz w:val="22"/>
              </w:rPr>
              <w:t>等级</w:t>
            </w:r>
          </w:p>
        </w:tc>
        <w:tc>
          <w:tcPr>
            <w:tcW w:type="dxa" w:w="6110"/>
            <w:shd w:fill="E8EEF5" w:val="clear"/>
            <w:tcMar>
              <w:top w:w="80" w:type="dxa"/>
              <w:start w:w="120" w:type="dxa"/>
              <w:bottom w:w="80" w:type="dxa"/>
              <w:end w:w="120" w:type="dxa"/>
            </w:tcMar>
            <w:vAlign w:val="center"/>
          </w:tcPr>
          <w:p>
            <w:pPr>
              <w:spacing w:after="0"/>
            </w:pPr>
            <w:r>
              <w:rPr>
                <w:rFonts w:ascii="Calibri" w:hAnsi="Calibri" w:eastAsia="Microsoft YaHei"/>
                <w:b/>
                <w:i w:val="0"/>
                <w:color w:val="1F4D78"/>
                <w:sz w:val="22"/>
              </w:rPr>
              <w:t>定义</w:t>
            </w:r>
          </w:p>
        </w:tc>
        <w:tc>
          <w:tcPr>
            <w:tcW w:type="dxa" w:w="2100"/>
            <w:shd w:fill="E8EEF5" w:val="clear"/>
            <w:tcMar>
              <w:top w:w="80" w:type="dxa"/>
              <w:start w:w="120" w:type="dxa"/>
              <w:bottom w:w="80" w:type="dxa"/>
              <w:end w:w="120" w:type="dxa"/>
            </w:tcMar>
            <w:vAlign w:val="center"/>
          </w:tcPr>
          <w:p>
            <w:pPr>
              <w:spacing w:after="0"/>
            </w:pPr>
            <w:r>
              <w:rPr>
                <w:rFonts w:ascii="Calibri" w:hAnsi="Calibri" w:eastAsia="Microsoft YaHei"/>
                <w:b/>
                <w:i w:val="0"/>
                <w:color w:val="1F4D78"/>
                <w:sz w:val="22"/>
              </w:rPr>
              <w:t>可否发布</w:t>
            </w:r>
          </w:p>
        </w:tc>
      </w:tr>
      <w:tr>
        <w:tc>
          <w:tcPr>
            <w:tcW w:type="dxa" w:w="1150"/>
            <w:tcMar>
              <w:top w:w="80" w:type="dxa"/>
              <w:start w:w="120" w:type="dxa"/>
              <w:bottom w:w="80" w:type="dxa"/>
              <w:end w:w="120" w:type="dxa"/>
            </w:tcMar>
            <w:vAlign w:val="center"/>
          </w:tcPr>
          <w:p>
            <w:pPr>
              <w:spacing w:after="0" w:line="276" w:lineRule="auto"/>
            </w:pPr>
            <w:r>
              <w:rPr>
                <w:rFonts w:ascii="Calibri" w:hAnsi="Calibri" w:eastAsia="Microsoft YaHei"/>
                <w:b w:val="0"/>
                <w:i w:val="0"/>
                <w:color w:val="000000"/>
                <w:sz w:val="20"/>
              </w:rPr>
              <w:t>L1</w:t>
            </w:r>
          </w:p>
        </w:tc>
        <w:tc>
          <w:tcPr>
            <w:tcW w:type="dxa" w:w="6110"/>
            <w:tcMar>
              <w:top w:w="80" w:type="dxa"/>
              <w:start w:w="120" w:type="dxa"/>
              <w:bottom w:w="80" w:type="dxa"/>
              <w:end w:w="120" w:type="dxa"/>
            </w:tcMar>
            <w:vAlign w:val="center"/>
          </w:tcPr>
          <w:p>
            <w:pPr>
              <w:spacing w:after="0" w:line="276" w:lineRule="auto"/>
            </w:pPr>
            <w:r>
              <w:rPr>
                <w:rFonts w:ascii="Calibri" w:hAnsi="Calibri" w:eastAsia="Microsoft YaHei"/>
                <w:b w:val="0"/>
                <w:i w:val="0"/>
                <w:color w:val="000000"/>
                <w:sz w:val="20"/>
              </w:rPr>
              <w:t>一个新鲜平台来源通过全部严格住宅与地址门禁</w:t>
            </w:r>
          </w:p>
        </w:tc>
        <w:tc>
          <w:tcPr>
            <w:tcW w:type="dxa" w:w="2100"/>
            <w:tcMar>
              <w:top w:w="80" w:type="dxa"/>
              <w:start w:w="120" w:type="dxa"/>
              <w:bottom w:w="80" w:type="dxa"/>
              <w:end w:w="120" w:type="dxa"/>
            </w:tcMar>
            <w:vAlign w:val="center"/>
          </w:tcPr>
          <w:p>
            <w:pPr>
              <w:spacing w:after="0" w:line="276" w:lineRule="auto"/>
            </w:pPr>
            <w:r>
              <w:rPr>
                <w:rFonts w:ascii="Calibri" w:hAnsi="Calibri" w:eastAsia="Microsoft YaHei"/>
                <w:b w:val="0"/>
                <w:i w:val="0"/>
                <w:color w:val="000000"/>
                <w:sz w:val="20"/>
              </w:rPr>
              <w:t>可以</w:t>
            </w:r>
          </w:p>
        </w:tc>
      </w:tr>
      <w:tr>
        <w:tc>
          <w:tcPr>
            <w:tcW w:type="dxa" w:w="1150"/>
            <w:tcMar>
              <w:top w:w="80" w:type="dxa"/>
              <w:start w:w="120" w:type="dxa"/>
              <w:bottom w:w="80" w:type="dxa"/>
              <w:end w:w="120" w:type="dxa"/>
            </w:tcMar>
            <w:vAlign w:val="center"/>
          </w:tcPr>
          <w:p>
            <w:pPr>
              <w:spacing w:after="0" w:line="276" w:lineRule="auto"/>
            </w:pPr>
            <w:r>
              <w:rPr>
                <w:rFonts w:ascii="Calibri" w:hAnsi="Calibri" w:eastAsia="Microsoft YaHei"/>
                <w:b w:val="0"/>
                <w:i w:val="0"/>
                <w:color w:val="000000"/>
                <w:sz w:val="20"/>
              </w:rPr>
              <w:t>L2</w:t>
            </w:r>
          </w:p>
        </w:tc>
        <w:tc>
          <w:tcPr>
            <w:tcW w:type="dxa" w:w="6110"/>
            <w:tcMar>
              <w:top w:w="80" w:type="dxa"/>
              <w:start w:w="120" w:type="dxa"/>
              <w:bottom w:w="80" w:type="dxa"/>
              <w:end w:w="120" w:type="dxa"/>
            </w:tcMar>
            <w:vAlign w:val="center"/>
          </w:tcPr>
          <w:p>
            <w:pPr>
              <w:spacing w:after="0" w:line="276" w:lineRule="auto"/>
            </w:pPr>
            <w:r>
              <w:rPr>
                <w:rFonts w:ascii="Calibri" w:hAnsi="Calibri" w:eastAsia="Microsoft YaHei"/>
                <w:b w:val="0"/>
                <w:i w:val="0"/>
                <w:color w:val="000000"/>
                <w:sz w:val="20"/>
              </w:rPr>
              <w:t>两个独立平台对同一小区、近坐标和一致门牌达成一致</w:t>
            </w:r>
          </w:p>
        </w:tc>
        <w:tc>
          <w:tcPr>
            <w:tcW w:type="dxa" w:w="2100"/>
            <w:tcMar>
              <w:top w:w="80" w:type="dxa"/>
              <w:start w:w="120" w:type="dxa"/>
              <w:bottom w:w="80" w:type="dxa"/>
              <w:end w:w="120" w:type="dxa"/>
            </w:tcMar>
            <w:vAlign w:val="center"/>
          </w:tcPr>
          <w:p>
            <w:pPr>
              <w:spacing w:after="0" w:line="276" w:lineRule="auto"/>
            </w:pPr>
            <w:r>
              <w:rPr>
                <w:rFonts w:ascii="Calibri" w:hAnsi="Calibri" w:eastAsia="Microsoft YaHei"/>
                <w:b w:val="0"/>
                <w:i w:val="0"/>
                <w:color w:val="000000"/>
                <w:sz w:val="20"/>
              </w:rPr>
              <w:t>可以，证据更强</w:t>
            </w:r>
          </w:p>
        </w:tc>
      </w:tr>
      <w:tr>
        <w:tc>
          <w:tcPr>
            <w:tcW w:type="dxa" w:w="1150"/>
            <w:tcMar>
              <w:top w:w="80" w:type="dxa"/>
              <w:start w:w="120" w:type="dxa"/>
              <w:bottom w:w="80" w:type="dxa"/>
              <w:end w:w="120" w:type="dxa"/>
            </w:tcMar>
            <w:vAlign w:val="center"/>
          </w:tcPr>
          <w:p>
            <w:pPr>
              <w:spacing w:after="0" w:line="276" w:lineRule="auto"/>
            </w:pPr>
            <w:r>
              <w:rPr>
                <w:rFonts w:ascii="Calibri" w:hAnsi="Calibri" w:eastAsia="Microsoft YaHei"/>
                <w:b w:val="0"/>
                <w:i w:val="0"/>
                <w:color w:val="000000"/>
                <w:sz w:val="20"/>
              </w:rPr>
              <w:t>L3</w:t>
            </w:r>
          </w:p>
        </w:tc>
        <w:tc>
          <w:tcPr>
            <w:tcW w:type="dxa" w:w="6110"/>
            <w:tcMar>
              <w:top w:w="80" w:type="dxa"/>
              <w:start w:w="120" w:type="dxa"/>
              <w:bottom w:w="80" w:type="dxa"/>
              <w:end w:w="120" w:type="dxa"/>
            </w:tcMar>
            <w:vAlign w:val="center"/>
          </w:tcPr>
          <w:p>
            <w:pPr>
              <w:spacing w:after="0" w:line="276" w:lineRule="auto"/>
            </w:pPr>
            <w:r>
              <w:rPr>
                <w:rFonts w:ascii="Calibri" w:hAnsi="Calibri" w:eastAsia="Microsoft YaHei"/>
                <w:b w:val="0"/>
                <w:i w:val="0"/>
                <w:color w:val="000000"/>
                <w:sz w:val="20"/>
              </w:rPr>
              <w:t>三个独立平台达成一致</w:t>
            </w:r>
          </w:p>
        </w:tc>
        <w:tc>
          <w:tcPr>
            <w:tcW w:type="dxa" w:w="2100"/>
            <w:tcMar>
              <w:top w:w="80" w:type="dxa"/>
              <w:start w:w="120" w:type="dxa"/>
              <w:bottom w:w="80" w:type="dxa"/>
              <w:end w:w="120" w:type="dxa"/>
            </w:tcMar>
            <w:vAlign w:val="center"/>
          </w:tcPr>
          <w:p>
            <w:pPr>
              <w:spacing w:after="0" w:line="276" w:lineRule="auto"/>
            </w:pPr>
            <w:r>
              <w:rPr>
                <w:rFonts w:ascii="Calibri" w:hAnsi="Calibri" w:eastAsia="Microsoft YaHei"/>
                <w:b w:val="0"/>
                <w:i w:val="0"/>
                <w:color w:val="000000"/>
                <w:sz w:val="20"/>
              </w:rPr>
              <w:t>可以，证据最强</w:t>
            </w:r>
          </w:p>
        </w:tc>
      </w:tr>
    </w:tbl>
    <w:p>
      <w:pPr>
        <w:spacing w:after="0"/>
      </w:pPr>
    </w:p>
    <w:p>
      <w:pPr>
        <w:spacing w:before="0" w:after="120" w:line="300" w:lineRule="auto"/>
      </w:pPr>
      <w:r>
        <w:rPr>
          <w:rFonts w:ascii="Calibri" w:hAnsi="Calibri" w:eastAsia="Microsoft YaHei"/>
          <w:b w:val="0"/>
          <w:i w:val="0"/>
          <w:color w:val="000000"/>
          <w:sz w:val="22"/>
        </w:rPr>
        <w:t>高德候选固定使用严格住宅小区分类 typecode=120302，并要求目标区县 adcode 一致。百度和腾讯候选也必须通过相同的住宅语义、行政区、数字门牌、坐标与黑名单门禁。任何平台的合格严格记录都可成为 L1；平台数量只提升证据等级，不替代质量门禁。</w:t>
      </w:r>
    </w:p>
    <w:p>
      <w:pPr>
        <w:pStyle w:val="ListBullet"/>
        <w:spacing w:after="80" w:line="300" w:lineRule="auto"/>
        <w:ind w:left="540" w:hanging="271"/>
      </w:pPr>
      <w:r>
        <w:rPr>
          <w:rFonts w:ascii="Calibri" w:hAnsi="Calibri" w:eastAsia="Microsoft YaHei"/>
          <w:b w:val="0"/>
          <w:i w:val="0"/>
          <w:color w:val="000000"/>
          <w:sz w:val="22"/>
        </w:rPr>
        <w:t>来源观测超过 180 天后停止公开发布，直到重新验证。</w:t>
      </w:r>
    </w:p>
    <w:p>
      <w:pPr>
        <w:pStyle w:val="ListBullet"/>
        <w:spacing w:after="80" w:line="300" w:lineRule="auto"/>
        <w:ind w:left="540" w:hanging="271"/>
      </w:pPr>
      <w:r>
        <w:rPr>
          <w:rFonts w:ascii="Calibri" w:hAnsi="Calibri" w:eastAsia="Microsoft YaHei"/>
          <w:b w:val="0"/>
          <w:i w:val="0"/>
          <w:color w:val="000000"/>
          <w:sz w:val="22"/>
        </w:rPr>
        <w:t>门牌缺失不能确认数字地址；门牌冲突的候选不得合并。</w:t>
      </w:r>
    </w:p>
    <w:p>
      <w:pPr>
        <w:pStyle w:val="ListBullet"/>
        <w:spacing w:after="80" w:line="300" w:lineRule="auto"/>
        <w:ind w:left="540" w:hanging="271"/>
      </w:pPr>
      <w:r>
        <w:rPr>
          <w:rFonts w:ascii="Calibri" w:hAnsi="Calibri" w:eastAsia="Microsoft YaHei"/>
          <w:b w:val="0"/>
          <w:i w:val="0"/>
          <w:color w:val="000000"/>
          <w:sz w:val="22"/>
        </w:rPr>
        <w:t>规范化会删除重复行政前缀，避免“省市区 + 省市区 + 道路门牌”的重复地址。</w:t>
      </w:r>
    </w:p>
    <w:p>
      <w:pPr>
        <w:pStyle w:val="Heading1"/>
      </w:pPr>
      <w:r>
        <w:t>4. 自动完成规则与队列终止</w:t>
      </w:r>
    </w:p>
    <w:p>
      <w:pPr>
        <w:spacing w:before="0" w:after="120" w:line="300" w:lineRule="auto"/>
      </w:pPr>
      <w:r>
        <w:rPr>
          <w:rFonts w:ascii="Calibri" w:hAnsi="Calibri" w:eastAsia="Microsoft YaHei"/>
          <w:b w:val="0"/>
          <w:i w:val="0"/>
          <w:color w:val="000000"/>
          <w:sz w:val="22"/>
        </w:rPr>
        <w:t>一个国家只有在全部已启用条件同时满足时才标记完成：地址总量、最低行政层覆盖率与每节点最低数、一级/二级行政区保底，以及所有单节点覆盖目标。总量达到但覆盖不足仍为未完成，并继续进入可执行队列。</w:t>
      </w:r>
    </w:p>
    <w:p>
      <w:pPr>
        <w:pStyle w:val="ListBullet"/>
        <w:spacing w:after="80" w:line="300" w:lineRule="auto"/>
        <w:ind w:left="540" w:hanging="271"/>
      </w:pPr>
      <w:r>
        <w:rPr>
          <w:rFonts w:ascii="Calibri" w:hAnsi="Calibri" w:eastAsia="Microsoft YaHei"/>
          <w:b w:val="0"/>
          <w:i w:val="0"/>
          <w:color w:val="000000"/>
          <w:sz w:val="22"/>
        </w:rPr>
        <w:t>来源确认耗尽：保持未完成，但不进入执行队列；仅在来源或策略版本指纹变化后重新评估。</w:t>
      </w:r>
    </w:p>
    <w:p>
      <w:pPr>
        <w:pStyle w:val="ListBullet"/>
        <w:spacing w:after="80" w:line="300" w:lineRule="auto"/>
        <w:ind w:left="540" w:hanging="271"/>
      </w:pPr>
      <w:r>
        <w:rPr>
          <w:rFonts w:ascii="Calibri" w:hAnsi="Calibri" w:eastAsia="Microsoft YaHei"/>
          <w:b w:val="0"/>
          <w:i w:val="0"/>
          <w:color w:val="000000"/>
          <w:sz w:val="22"/>
        </w:rPr>
        <w:t>额度或 QPS 暂停：保存最早恢复时间，到点自动继续。</w:t>
      </w:r>
    </w:p>
    <w:p>
      <w:pPr>
        <w:pStyle w:val="ListBullet"/>
        <w:spacing w:after="80" w:line="300" w:lineRule="auto"/>
        <w:ind w:left="540" w:hanging="271"/>
      </w:pPr>
      <w:r>
        <w:rPr>
          <w:rFonts w:ascii="Calibri" w:hAnsi="Calibri" w:eastAsia="Microsoft YaHei"/>
          <w:b w:val="0"/>
          <w:i w:val="0"/>
          <w:color w:val="000000"/>
          <w:sz w:val="22"/>
        </w:rPr>
        <w:t>连续失败或无增长：有限重试、指数退避、无增长锁存与暂停，避免无限循环。</w:t>
      </w:r>
    </w:p>
    <w:p>
      <w:pPr>
        <w:pStyle w:val="ListBullet"/>
        <w:spacing w:after="80" w:line="300" w:lineRule="auto"/>
        <w:ind w:left="540" w:hanging="271"/>
      </w:pPr>
      <w:r>
        <w:rPr>
          <w:rFonts w:ascii="Calibri" w:hAnsi="Calibri" w:eastAsia="Microsoft YaHei"/>
          <w:b w:val="0"/>
          <w:i w:val="0"/>
          <w:color w:val="000000"/>
          <w:sz w:val="22"/>
        </w:rPr>
        <w:t>中国在仍具备同步条件时拥有最高自动优先级。</w:t>
      </w:r>
    </w:p>
    <w:p>
      <w:pPr>
        <w:pStyle w:val="Heading1"/>
      </w:pPr>
      <w:r>
        <w:t>5. API Key 轮换</w:t>
      </w:r>
    </w:p>
    <w:tbl>
      <w:tblPr>
        <w:tblW w:type="dxa" w:w="9360"/>
        <w:jc w:val="left"/>
        <w:tblInd w:w="120" w:type="dxa"/>
        <w:tblBorders>
          <w:top w:val="single" w:sz="4" w:color="C8D2DE"/>
          <w:left w:val="single" w:sz="4" w:color="C8D2DE"/>
          <w:bottom w:val="single" w:sz="4" w:color="C8D2DE"/>
          <w:right w:val="single" w:sz="4" w:color="C8D2DE"/>
          <w:insideH w:val="single" w:sz="4" w:color="C8D2DE"/>
          <w:insideV w:val="single" w:sz="4" w:color="C8D2DE"/>
        </w:tblBorders>
        <w:tblLayout w:type="fixed"/>
        <w:tblLook w:firstColumn="1" w:firstRow="1" w:lastColumn="0" w:lastRow="0" w:noHBand="0" w:noVBand="1" w:val="04A0"/>
      </w:tblPr>
      <w:tblGrid>
        <w:gridCol w:w="1700"/>
        <w:gridCol w:w="3780"/>
        <w:gridCol w:w="3880"/>
      </w:tblGrid>
      <w:tr>
        <w:trPr>
          <w:tblHeader w:val="true"/>
        </w:trPr>
        <w:tc>
          <w:tcPr>
            <w:tcW w:type="dxa" w:w="1700"/>
            <w:shd w:fill="E8EEF5" w:val="clear"/>
            <w:tcMar>
              <w:top w:w="80" w:type="dxa"/>
              <w:start w:w="120" w:type="dxa"/>
              <w:bottom w:w="80" w:type="dxa"/>
              <w:end w:w="120" w:type="dxa"/>
            </w:tcMar>
            <w:vAlign w:val="center"/>
          </w:tcPr>
          <w:p>
            <w:pPr>
              <w:spacing w:after="0"/>
            </w:pPr>
            <w:r>
              <w:rPr>
                <w:rFonts w:ascii="Calibri" w:hAnsi="Calibri" w:eastAsia="Microsoft YaHei"/>
                <w:b/>
                <w:i w:val="0"/>
                <w:color w:val="1F4D78"/>
                <w:sz w:val="22"/>
              </w:rPr>
              <w:t>平台</w:t>
            </w:r>
          </w:p>
        </w:tc>
        <w:tc>
          <w:tcPr>
            <w:tcW w:type="dxa" w:w="3780"/>
            <w:shd w:fill="E8EEF5" w:val="clear"/>
            <w:tcMar>
              <w:top w:w="80" w:type="dxa"/>
              <w:start w:w="120" w:type="dxa"/>
              <w:bottom w:w="80" w:type="dxa"/>
              <w:end w:w="120" w:type="dxa"/>
            </w:tcMar>
            <w:vAlign w:val="center"/>
          </w:tcPr>
          <w:p>
            <w:pPr>
              <w:spacing w:after="0"/>
            </w:pPr>
            <w:r>
              <w:rPr>
                <w:rFonts w:ascii="Calibri" w:hAnsi="Calibri" w:eastAsia="Microsoft YaHei"/>
                <w:b/>
                <w:i w:val="0"/>
                <w:color w:val="1F4D78"/>
                <w:sz w:val="22"/>
              </w:rPr>
              <w:t>环境变量</w:t>
            </w:r>
          </w:p>
        </w:tc>
        <w:tc>
          <w:tcPr>
            <w:tcW w:type="dxa" w:w="3880"/>
            <w:shd w:fill="E8EEF5" w:val="clear"/>
            <w:tcMar>
              <w:top w:w="80" w:type="dxa"/>
              <w:start w:w="120" w:type="dxa"/>
              <w:bottom w:w="80" w:type="dxa"/>
              <w:end w:w="120" w:type="dxa"/>
            </w:tcMar>
            <w:vAlign w:val="center"/>
          </w:tcPr>
          <w:p>
            <w:pPr>
              <w:spacing w:after="0"/>
            </w:pPr>
            <w:r>
              <w:rPr>
                <w:rFonts w:ascii="Calibri" w:hAnsi="Calibri" w:eastAsia="Microsoft YaHei"/>
                <w:b/>
                <w:i w:val="0"/>
                <w:color w:val="1F4D78"/>
                <w:sz w:val="22"/>
              </w:rPr>
              <w:t>主要用途</w:t>
            </w:r>
          </w:p>
        </w:tc>
      </w:tr>
      <w:tr>
        <w:tc>
          <w:tcPr>
            <w:tcW w:type="dxa" w:w="1700"/>
            <w:tcMar>
              <w:top w:w="80" w:type="dxa"/>
              <w:start w:w="120" w:type="dxa"/>
              <w:bottom w:w="80" w:type="dxa"/>
              <w:end w:w="120" w:type="dxa"/>
            </w:tcMar>
            <w:vAlign w:val="center"/>
          </w:tcPr>
          <w:p>
            <w:pPr>
              <w:spacing w:after="0" w:line="276" w:lineRule="auto"/>
            </w:pPr>
            <w:r>
              <w:rPr>
                <w:rFonts w:ascii="Calibri" w:hAnsi="Calibri" w:eastAsia="Microsoft YaHei"/>
                <w:b w:val="0"/>
                <w:i w:val="0"/>
                <w:color w:val="000000"/>
                <w:sz w:val="20"/>
              </w:rPr>
              <w:t>高德</w:t>
            </w:r>
          </w:p>
        </w:tc>
        <w:tc>
          <w:tcPr>
            <w:tcW w:type="dxa" w:w="3780"/>
            <w:tcMar>
              <w:top w:w="80" w:type="dxa"/>
              <w:start w:w="120" w:type="dxa"/>
              <w:bottom w:w="80" w:type="dxa"/>
              <w:end w:w="120" w:type="dxa"/>
            </w:tcMar>
            <w:vAlign w:val="center"/>
          </w:tcPr>
          <w:p>
            <w:pPr>
              <w:spacing w:after="0" w:line="276" w:lineRule="auto"/>
            </w:pPr>
            <w:r>
              <w:rPr>
                <w:rFonts w:ascii="Calibri" w:hAnsi="Calibri" w:eastAsia="Microsoft YaHei"/>
                <w:b w:val="0"/>
                <w:i w:val="0"/>
                <w:color w:val="000000"/>
                <w:sz w:val="20"/>
              </w:rPr>
              <w:t>AMAP_API_KEY、AMAP_API_KEY_2…</w:t>
            </w:r>
          </w:p>
        </w:tc>
        <w:tc>
          <w:tcPr>
            <w:tcW w:type="dxa" w:w="3880"/>
            <w:tcMar>
              <w:top w:w="80" w:type="dxa"/>
              <w:start w:w="120" w:type="dxa"/>
              <w:bottom w:w="80" w:type="dxa"/>
              <w:end w:w="120" w:type="dxa"/>
            </w:tcMar>
            <w:vAlign w:val="center"/>
          </w:tcPr>
          <w:p>
            <w:pPr>
              <w:spacing w:after="0" w:line="276" w:lineRule="auto"/>
            </w:pPr>
            <w:r>
              <w:rPr>
                <w:rFonts w:ascii="Calibri" w:hAnsi="Calibri" w:eastAsia="Microsoft YaHei"/>
                <w:b w:val="0"/>
                <w:i w:val="0"/>
                <w:color w:val="000000"/>
                <w:sz w:val="20"/>
              </w:rPr>
              <w:t>中国住宅小区同步</w:t>
            </w:r>
          </w:p>
        </w:tc>
      </w:tr>
      <w:tr>
        <w:tc>
          <w:tcPr>
            <w:tcW w:type="dxa" w:w="1700"/>
            <w:tcMar>
              <w:top w:w="80" w:type="dxa"/>
              <w:start w:w="120" w:type="dxa"/>
              <w:bottom w:w="80" w:type="dxa"/>
              <w:end w:w="120" w:type="dxa"/>
            </w:tcMar>
            <w:vAlign w:val="center"/>
          </w:tcPr>
          <w:p>
            <w:pPr>
              <w:spacing w:after="0" w:line="276" w:lineRule="auto"/>
            </w:pPr>
            <w:r>
              <w:rPr>
                <w:rFonts w:ascii="Calibri" w:hAnsi="Calibri" w:eastAsia="Microsoft YaHei"/>
                <w:b w:val="0"/>
                <w:i w:val="0"/>
                <w:color w:val="000000"/>
                <w:sz w:val="20"/>
              </w:rPr>
              <w:t>百度</w:t>
            </w:r>
          </w:p>
        </w:tc>
        <w:tc>
          <w:tcPr>
            <w:tcW w:type="dxa" w:w="3780"/>
            <w:tcMar>
              <w:top w:w="80" w:type="dxa"/>
              <w:start w:w="120" w:type="dxa"/>
              <w:bottom w:w="80" w:type="dxa"/>
              <w:end w:w="120" w:type="dxa"/>
            </w:tcMar>
            <w:vAlign w:val="center"/>
          </w:tcPr>
          <w:p>
            <w:pPr>
              <w:spacing w:after="0" w:line="276" w:lineRule="auto"/>
            </w:pPr>
            <w:r>
              <w:rPr>
                <w:rFonts w:ascii="Calibri" w:hAnsi="Calibri" w:eastAsia="Microsoft YaHei"/>
                <w:b w:val="0"/>
                <w:i w:val="0"/>
                <w:color w:val="000000"/>
                <w:sz w:val="20"/>
              </w:rPr>
              <w:t>BAIDU_API_KEY、BAIDU_API_KEY_2…</w:t>
            </w:r>
          </w:p>
        </w:tc>
        <w:tc>
          <w:tcPr>
            <w:tcW w:type="dxa" w:w="3880"/>
            <w:tcMar>
              <w:top w:w="80" w:type="dxa"/>
              <w:start w:w="120" w:type="dxa"/>
              <w:bottom w:w="80" w:type="dxa"/>
              <w:end w:w="120" w:type="dxa"/>
            </w:tcMar>
            <w:vAlign w:val="center"/>
          </w:tcPr>
          <w:p>
            <w:pPr>
              <w:spacing w:after="0" w:line="276" w:lineRule="auto"/>
            </w:pPr>
            <w:r>
              <w:rPr>
                <w:rFonts w:ascii="Calibri" w:hAnsi="Calibri" w:eastAsia="Microsoft YaHei"/>
                <w:b w:val="0"/>
                <w:i w:val="0"/>
                <w:color w:val="000000"/>
                <w:sz w:val="20"/>
              </w:rPr>
              <w:t>中国住宅小区补充</w:t>
            </w:r>
          </w:p>
        </w:tc>
      </w:tr>
      <w:tr>
        <w:tc>
          <w:tcPr>
            <w:tcW w:type="dxa" w:w="1700"/>
            <w:tcMar>
              <w:top w:w="80" w:type="dxa"/>
              <w:start w:w="120" w:type="dxa"/>
              <w:bottom w:w="80" w:type="dxa"/>
              <w:end w:w="120" w:type="dxa"/>
            </w:tcMar>
            <w:vAlign w:val="center"/>
          </w:tcPr>
          <w:p>
            <w:pPr>
              <w:spacing w:after="0" w:line="276" w:lineRule="auto"/>
            </w:pPr>
            <w:r>
              <w:rPr>
                <w:rFonts w:ascii="Calibri" w:hAnsi="Calibri" w:eastAsia="Microsoft YaHei"/>
                <w:b w:val="0"/>
                <w:i w:val="0"/>
                <w:color w:val="000000"/>
                <w:sz w:val="20"/>
              </w:rPr>
              <w:t>腾讯</w:t>
            </w:r>
          </w:p>
        </w:tc>
        <w:tc>
          <w:tcPr>
            <w:tcW w:type="dxa" w:w="3780"/>
            <w:tcMar>
              <w:top w:w="80" w:type="dxa"/>
              <w:start w:w="120" w:type="dxa"/>
              <w:bottom w:w="80" w:type="dxa"/>
              <w:end w:w="120" w:type="dxa"/>
            </w:tcMar>
            <w:vAlign w:val="center"/>
          </w:tcPr>
          <w:p>
            <w:pPr>
              <w:spacing w:after="0" w:line="276" w:lineRule="auto"/>
            </w:pPr>
            <w:r>
              <w:rPr>
                <w:rFonts w:ascii="Calibri" w:hAnsi="Calibri" w:eastAsia="Microsoft YaHei"/>
                <w:b w:val="0"/>
                <w:i w:val="0"/>
                <w:color w:val="000000"/>
                <w:sz w:val="20"/>
              </w:rPr>
              <w:t>TENCENT_API_KEY、TENCENT_API_KEY_2…</w:t>
            </w:r>
          </w:p>
        </w:tc>
        <w:tc>
          <w:tcPr>
            <w:tcW w:type="dxa" w:w="3880"/>
            <w:tcMar>
              <w:top w:w="80" w:type="dxa"/>
              <w:start w:w="120" w:type="dxa"/>
              <w:bottom w:w="80" w:type="dxa"/>
              <w:end w:w="120" w:type="dxa"/>
            </w:tcMar>
            <w:vAlign w:val="center"/>
          </w:tcPr>
          <w:p>
            <w:pPr>
              <w:spacing w:after="0" w:line="276" w:lineRule="auto"/>
            </w:pPr>
            <w:r>
              <w:rPr>
                <w:rFonts w:ascii="Calibri" w:hAnsi="Calibri" w:eastAsia="Microsoft YaHei"/>
                <w:b w:val="0"/>
                <w:i w:val="0"/>
                <w:color w:val="000000"/>
                <w:sz w:val="20"/>
              </w:rPr>
              <w:t>中国住宅小区补充</w:t>
            </w:r>
          </w:p>
        </w:tc>
      </w:tr>
      <w:tr>
        <w:tc>
          <w:tcPr>
            <w:tcW w:type="dxa" w:w="1700"/>
            <w:tcMar>
              <w:top w:w="80" w:type="dxa"/>
              <w:start w:w="120" w:type="dxa"/>
              <w:bottom w:w="80" w:type="dxa"/>
              <w:end w:w="120" w:type="dxa"/>
            </w:tcMar>
            <w:vAlign w:val="center"/>
          </w:tcPr>
          <w:p>
            <w:pPr>
              <w:spacing w:after="0" w:line="276" w:lineRule="auto"/>
            </w:pPr>
            <w:r>
              <w:rPr>
                <w:rFonts w:ascii="Calibri" w:hAnsi="Calibri" w:eastAsia="Microsoft YaHei"/>
                <w:b w:val="0"/>
                <w:i w:val="0"/>
                <w:color w:val="000000"/>
                <w:sz w:val="20"/>
              </w:rPr>
              <w:t>高德浏览器地图</w:t>
            </w:r>
          </w:p>
        </w:tc>
        <w:tc>
          <w:tcPr>
            <w:tcW w:type="dxa" w:w="3780"/>
            <w:tcMar>
              <w:top w:w="80" w:type="dxa"/>
              <w:start w:w="120" w:type="dxa"/>
              <w:bottom w:w="80" w:type="dxa"/>
              <w:end w:w="120" w:type="dxa"/>
            </w:tcMar>
            <w:vAlign w:val="center"/>
          </w:tcPr>
          <w:p>
            <w:pPr>
              <w:spacing w:after="0" w:line="276" w:lineRule="auto"/>
            </w:pPr>
            <w:r>
              <w:rPr>
                <w:rFonts w:ascii="Calibri" w:hAnsi="Calibri" w:eastAsia="Microsoft YaHei"/>
                <w:b w:val="0"/>
                <w:i w:val="0"/>
                <w:color w:val="000000"/>
                <w:sz w:val="20"/>
              </w:rPr>
              <w:t>AMAP_JS_API_KEY + AMAP_JS_SECURITY_CODE</w:t>
            </w:r>
          </w:p>
        </w:tc>
        <w:tc>
          <w:tcPr>
            <w:tcW w:type="dxa" w:w="3880"/>
            <w:tcMar>
              <w:top w:w="80" w:type="dxa"/>
              <w:start w:w="120" w:type="dxa"/>
              <w:bottom w:w="80" w:type="dxa"/>
              <w:end w:w="120" w:type="dxa"/>
            </w:tcMar>
            <w:vAlign w:val="center"/>
          </w:tcPr>
          <w:p>
            <w:pPr>
              <w:spacing w:after="0" w:line="276" w:lineRule="auto"/>
            </w:pPr>
            <w:r>
              <w:rPr>
                <w:rFonts w:ascii="Calibri" w:hAnsi="Calibri" w:eastAsia="Microsoft YaHei"/>
                <w:b w:val="0"/>
                <w:i w:val="0"/>
                <w:color w:val="000000"/>
                <w:sz w:val="20"/>
              </w:rPr>
              <w:t>地图预览；与同步 Key 分离</w:t>
            </w:r>
          </w:p>
        </w:tc>
      </w:tr>
    </w:tbl>
    <w:p>
      <w:pPr>
        <w:spacing w:after="0"/>
      </w:pPr>
    </w:p>
    <w:p>
      <w:pPr>
        <w:spacing w:before="0" w:after="120" w:line="300" w:lineRule="auto"/>
      </w:pPr>
      <w:r>
        <w:rPr>
          <w:rFonts w:ascii="Calibri" w:hAnsi="Calibri" w:eastAsia="Microsoft YaHei"/>
          <w:b w:val="0"/>
          <w:i w:val="0"/>
          <w:color w:val="000000"/>
          <w:sz w:val="22"/>
        </w:rPr>
        <w:t>选择策略：按启用状态、QPS、额度、过期/冷却时间和最近使用时间选择可用 Key。当前 Key 失败后，本轮排除该 Key 并尝试其他 Key；全部不可用时等待最早冷却或额度重置，不把整个平台永久标记失败。</w:t>
      </w:r>
    </w:p>
    <w:p>
      <w:pPr>
        <w:pStyle w:val="ListBullet"/>
        <w:spacing w:after="80" w:line="300" w:lineRule="auto"/>
        <w:ind w:left="540" w:hanging="271"/>
      </w:pPr>
      <w:r>
        <w:rPr>
          <w:rFonts w:ascii="Calibri" w:hAnsi="Calibri" w:eastAsia="Microsoft YaHei"/>
          <w:b w:val="0"/>
          <w:i w:val="0"/>
          <w:color w:val="000000"/>
          <w:sz w:val="22"/>
        </w:rPr>
        <w:t>429/QPS：优先使用平台返回的 Retry-After 或恢复时间，否则采用有上限的指数冷却。</w:t>
      </w:r>
    </w:p>
    <w:p>
      <w:pPr>
        <w:pStyle w:val="ListBullet"/>
        <w:spacing w:after="80" w:line="300" w:lineRule="auto"/>
        <w:ind w:left="540" w:hanging="271"/>
      </w:pPr>
      <w:r>
        <w:rPr>
          <w:rFonts w:ascii="Calibri" w:hAnsi="Calibri" w:eastAsia="Microsoft YaHei"/>
          <w:b w:val="0"/>
          <w:i w:val="0"/>
          <w:color w:val="000000"/>
          <w:sz w:val="22"/>
        </w:rPr>
        <w:t>日/月额度：只暂停当前 Key，到配置的周期边界或平台返回时间恢复。</w:t>
      </w:r>
    </w:p>
    <w:p>
      <w:pPr>
        <w:pStyle w:val="ListBullet"/>
        <w:spacing w:after="80" w:line="300" w:lineRule="auto"/>
        <w:ind w:left="540" w:hanging="271"/>
      </w:pPr>
      <w:r>
        <w:rPr>
          <w:rFonts w:ascii="Calibri" w:hAnsi="Calibri" w:eastAsia="Microsoft YaHei"/>
          <w:b w:val="0"/>
          <w:i w:val="0"/>
          <w:color w:val="000000"/>
          <w:sz w:val="22"/>
        </w:rPr>
        <w:t>认证/无效 Key：标记 needs_review，由管理员修正；不影响其他 Key。</w:t>
      </w:r>
    </w:p>
    <w:p>
      <w:pPr>
        <w:pStyle w:val="ListBullet"/>
        <w:spacing w:after="80" w:line="300" w:lineRule="auto"/>
        <w:ind w:left="540" w:hanging="271"/>
      </w:pPr>
      <w:r>
        <w:rPr>
          <w:rFonts w:ascii="Calibri" w:hAnsi="Calibri" w:eastAsia="Microsoft YaHei"/>
          <w:b w:val="0"/>
          <w:i w:val="0"/>
          <w:color w:val="000000"/>
          <w:sz w:val="22"/>
        </w:rPr>
        <w:t>真实额度以官方控制台和响应头为准；后台配置服务、周期、上限、时区和共享额度组。</w:t>
      </w:r>
    </w:p>
    <w:p>
      <w:pPr>
        <w:pStyle w:val="Heading1"/>
      </w:pPr>
      <w:r>
        <w:t>6. 凭据配置</w:t>
      </w:r>
    </w:p>
    <w:p>
      <w:pPr>
        <w:pStyle w:val="ListBullet"/>
        <w:spacing w:after="80" w:line="300" w:lineRule="auto"/>
        <w:ind w:left="540" w:hanging="271"/>
      </w:pPr>
      <w:r>
        <w:rPr>
          <w:rFonts w:ascii="Calibri" w:hAnsi="Calibri" w:eastAsia="Microsoft YaHei"/>
          <w:b w:val="0"/>
          <w:i w:val="0"/>
          <w:color w:val="000000"/>
          <w:sz w:val="22"/>
        </w:rPr>
        <w:t>真实密钥只进入权限 600 的运行配置或 PostgreSQL AES-256-GCM 密文；CONFIG_MASTER_KEY 必须稳定备份。</w:t>
      </w:r>
    </w:p>
    <w:p>
      <w:pPr>
        <w:pStyle w:val="ListBullet"/>
        <w:spacing w:after="80" w:line="300" w:lineRule="auto"/>
        <w:ind w:left="540" w:hanging="271"/>
      </w:pPr>
      <w:r>
        <w:rPr>
          <w:rFonts w:ascii="Calibri" w:hAnsi="Calibri" w:eastAsia="Microsoft YaHei"/>
          <w:b w:val="0"/>
          <w:i w:val="0"/>
          <w:color w:val="000000"/>
          <w:sz w:val="22"/>
        </w:rPr>
        <w:t>高德 JS Key 可见于浏览器，因此必须独立创建并限制正式域名；Security Code 仅由同源服务端代理使用。</w:t>
      </w:r>
    </w:p>
    <w:p>
      <w:pPr>
        <w:pStyle w:val="Heading1"/>
      </w:pPr>
      <w:r>
        <w:t>7. 功能检查</w:t>
      </w:r>
    </w:p>
    <w:p>
      <w:pPr>
        <w:pStyle w:val="ListBullet"/>
        <w:spacing w:after="80" w:line="300" w:lineRule="auto"/>
        <w:ind w:left="540" w:hanging="271"/>
      </w:pPr>
      <w:r>
        <w:rPr>
          <w:rFonts w:ascii="Calibri" w:hAnsi="Calibri" w:eastAsia="Microsoft YaHei"/>
          <w:b w:val="0"/>
          <w:i w:val="0"/>
          <w:color w:val="000000"/>
          <w:sz w:val="22"/>
        </w:rPr>
        <w:t>省市区前缀不会重复，门牌、小区与坐标保持来源值。</w:t>
      </w:r>
    </w:p>
    <w:p>
      <w:pPr>
        <w:pStyle w:val="ListBullet"/>
        <w:spacing w:after="80" w:line="300" w:lineRule="auto"/>
        <w:ind w:left="540" w:hanging="271"/>
      </w:pPr>
      <w:r>
        <w:rPr>
          <w:rFonts w:ascii="Calibri" w:hAnsi="Calibri" w:eastAsia="Microsoft YaHei"/>
          <w:b w:val="0"/>
          <w:i w:val="0"/>
          <w:color w:val="000000"/>
          <w:sz w:val="22"/>
        </w:rPr>
        <w:t>L1/L2/L3 与当前新鲜独立平台数量一致。</w:t>
      </w:r>
    </w:p>
    <w:p>
      <w:pPr>
        <w:pStyle w:val="ListBullet"/>
        <w:spacing w:after="80" w:line="300" w:lineRule="auto"/>
        <w:ind w:left="540" w:hanging="271"/>
      </w:pPr>
      <w:r>
        <w:rPr>
          <w:rFonts w:ascii="Calibri" w:hAnsi="Calibri" w:eastAsia="Microsoft YaHei"/>
          <w:b w:val="0"/>
          <w:i w:val="0"/>
          <w:color w:val="000000"/>
          <w:sz w:val="22"/>
        </w:rPr>
        <w:t>合成室内后缀明确标记 synthetic，地址组件和地图查询不把它当成来源证据。</w:t>
      </w:r>
    </w:p>
    <w:p>
      <w:pPr>
        <w:pStyle w:val="ListBullet"/>
        <w:spacing w:after="80" w:line="300" w:lineRule="auto"/>
        <w:ind w:left="540" w:hanging="271"/>
      </w:pPr>
      <w:r>
        <w:rPr>
          <w:rFonts w:ascii="Calibri" w:hAnsi="Calibri" w:eastAsia="Microsoft YaHei"/>
          <w:b w:val="0"/>
          <w:i w:val="0"/>
          <w:color w:val="000000"/>
          <w:sz w:val="22"/>
        </w:rPr>
        <w:t>三个完成规则及节点覆盖目标全部显示在地址数据页和独立同步队列页。</w:t>
      </w:r>
    </w:p>
    <w:p>
      <w:pPr>
        <w:pStyle w:val="ListBullet"/>
        <w:spacing w:after="80" w:line="300" w:lineRule="auto"/>
        <w:ind w:left="540" w:hanging="271"/>
      </w:pPr>
      <w:r>
        <w:rPr>
          <w:rFonts w:ascii="Calibri" w:hAnsi="Calibri" w:eastAsia="Microsoft YaHei"/>
          <w:b w:val="0"/>
          <w:i w:val="0"/>
          <w:color w:val="000000"/>
          <w:sz w:val="22"/>
        </w:rPr>
        <w:t>单 Key 失败会轮换；全部不可用时等待最早恢复时间。</w:t>
      </w:r>
    </w:p>
    <w:p>
      <w:pPr>
        <w:pStyle w:val="Heading1"/>
      </w:pPr>
      <w:r>
        <w:t>8. 参考</w:t>
      </w:r>
    </w:p>
    <w:p>
      <w:pPr>
        <w:spacing w:before="0" w:after="120" w:line="300" w:lineRule="auto"/>
      </w:pPr>
      <w:r>
        <w:rPr>
          <w:rFonts w:ascii="Calibri" w:hAnsi="Calibri" w:eastAsia="Microsoft YaHei"/>
          <w:b w:val="0"/>
          <w:i w:val="0"/>
          <w:color w:val="000000"/>
          <w:sz w:val="22"/>
        </w:rPr>
        <w:t>项目文档：docs/strategies/CN-China-address-generation.md；docs/API_KEYS.zh-CN.md；docs/DEPLOYMENT.zh-CN.md。</w:t>
      </w:r>
    </w:p>
    <w:p>
      <w:pPr>
        <w:spacing w:before="0" w:after="0" w:line="300" w:lineRule="auto"/>
      </w:pPr>
      <w:r>
        <w:rPr>
          <w:rFonts w:ascii="Calibri" w:hAnsi="Calibri" w:eastAsia="Microsoft YaHei"/>
          <w:b w:val="0"/>
          <w:i w:val="0"/>
          <w:color w:val="000000"/>
          <w:sz w:val="22"/>
        </w:rPr>
        <w:t>外部文档：高德 WebService Key 创建文档、高德 JavaScript API 安全密钥文档、百度 Web API 文档、腾讯 WebService 状态码文档。平台政策和额度以其最新官方页面为准。</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i w:val="0"/>
        <w:color w:val="667085"/>
        <w:sz w:val="18"/>
      </w:rPr>
      <w:t xml:space="preserve">CN strategy  |  2026-08-03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eastAsia="Microsoft YaHei"/>
        <w:b/>
        <w:i w:val="0"/>
        <w:color w:val="667085"/>
        <w:sz w:val="18"/>
      </w:rPr>
      <w:t>ADDRESS  |  CN STRATEGY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eastAsia="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Microsoft YaHe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中国地址生成与 API Key 轮换策略</dc:title>
  <dc:subject>Address 项目 CN 策略参考</dc:subject>
  <dc:creator>Address Project</dc:creator>
  <cp:keywords>CN, PostgreSQL, address, API key rotation</cp:keywords>
  <dc:description>generated by python-docx</dc:description>
  <cp:lastModifiedBy/>
  <cp:revision>1</cp:revision>
  <dcterms:created xsi:type="dcterms:W3CDTF">2013-12-23T23:15:00Z</dcterms:created>
  <dcterms:modified xsi:type="dcterms:W3CDTF">2013-12-23T23:15:00Z</dcterms:modified>
  <cp:category/>
</cp:coreProperties>
</file>