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Calibri" w:hAnsi="Calibri" w:eastAsia="Microsoft YaHei"/>
          <w:b/>
          <w:color w:val="2E74B5"/>
          <w:sz w:val="20"/>
        </w:rPr>
        <w:t>技术策略与运行参考</w:t>
      </w:r>
    </w:p>
    <w:p>
      <w:pPr>
        <w:spacing w:before="0" w:after="100" w:line="240" w:lineRule="auto"/>
      </w:pPr>
      <w:r>
        <w:rPr>
          <w:rFonts w:ascii="Calibri" w:hAnsi="Calibri" w:eastAsia="Microsoft YaHei"/>
          <w:b/>
          <w:color w:val="0B2545"/>
          <w:sz w:val="46"/>
        </w:rPr>
        <w:t>CN 中国地址生成与 Key 轮换策略</w:t>
      </w:r>
    </w:p>
    <w:p>
      <w:pPr>
        <w:spacing w:before="0" w:after="200" w:line="264" w:lineRule="auto"/>
      </w:pPr>
      <w:r>
        <w:rPr>
          <w:rFonts w:ascii="Calibri" w:hAnsi="Calibri" w:eastAsia="Microsoft YaHei"/>
          <w:color w:val="667085"/>
          <w:sz w:val="24"/>
        </w:rPr>
        <w:t>严格真实住宅地址 · 发布门禁 · 自动同步 · 凭据安全</w:t>
      </w:r>
    </w:p>
    <w:p>
      <w:pPr>
        <w:spacing w:before="0" w:after="60" w:line="300" w:lineRule="auto"/>
      </w:pPr>
      <w:r>
        <w:rPr>
          <w:rFonts w:ascii="Calibri" w:hAnsi="Calibri" w:eastAsia="Microsoft YaHei"/>
          <w:b/>
          <w:color w:val="0B2545"/>
        </w:rPr>
        <w:t>策略版本 / 状态 / 更新：</w:t>
      </w:r>
      <w:r>
        <w:rPr>
          <w:rFonts w:ascii="Calibri" w:hAnsi="Calibri" w:eastAsia="Microsoft YaHei"/>
          <w:i w:val="0"/>
          <w:color w:val="0B2545"/>
        </w:rPr>
        <w:t>1.0 / 当前主链路 / 2026-07-28</w:t>
      </w:r>
    </w:p>
    <w:p>
      <w:pPr>
        <w:spacing w:before="0" w:after="160" w:line="300" w:lineRule="auto"/>
      </w:pPr>
      <w:r>
        <w:rPr>
          <w:rFonts w:ascii="Calibri" w:hAnsi="Calibri" w:eastAsia="Microsoft YaHei"/>
          <w:b/>
          <w:color w:val="0B2545"/>
        </w:rPr>
        <w:t>核心结论：</w:t>
      </w:r>
      <w:r>
        <w:rPr>
          <w:rFonts w:ascii="Calibri" w:hAnsi="Calibri" w:eastAsia="Microsoft YaHei"/>
          <w:i w:val="0"/>
          <w:color w:val="0B2545"/>
        </w:rPr>
        <w:t>只发布同时具备地址存在证据与独立住宅用途证据的 E3 记录；任何缺失字段保持空。</w:t>
      </w:r>
    </w:p>
    <w:p>
      <w:pPr>
        <w:pStyle w:val="Heading1"/>
        <w:keepNext/>
        <w:keepLines/>
      </w:pPr>
      <w:r>
        <w:t>1. 核心数据策略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300"/>
        <w:gridCol w:w="4060"/>
      </w:tblGrid>
      <w:tr>
        <w:trPr>
          <w:tblHeader w:val="true"/>
          <w:cantSplit/>
        </w:trPr>
        <w:tc>
          <w:tcPr>
            <w:tcW w:type="dxa" w:w="20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项目</w:t>
            </w:r>
          </w:p>
        </w:tc>
        <w:tc>
          <w:tcPr>
            <w:tcW w:type="dxa" w:w="33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主链路</w:t>
            </w:r>
          </w:p>
        </w:tc>
        <w:tc>
          <w:tcPr>
            <w:tcW w:type="dxa" w:w="406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发布规则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行政区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AreaCity/StatsGov；民政部版本页对照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层级、代码、法定后缀与坐标反查一致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住宅小区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高德、百度、腾讯住宅 POI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至少两个独立平台的名称、行政区、地址和坐标一致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门牌/地址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平台原始登记字段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双方非空门牌必须完全一致；缺门牌来源不支持具体门牌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邮编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来源记录或精确权威关系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只清洗 6 位格式；冲突或缺失时为空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栋/单元/楼层/房间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同一上游记录的明确字段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上游缺失时为空，不生成、不推断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坐标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高德/腾讯 GCJ-02；百度 BD-09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保留原坐标系；WGS-84 只用于索引和 Google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t>2. E3 交叉验证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先限定省/市/区县/街道；行政层级冲突直接拒绝。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规范化小区名、道路和门牌，同时保留原始字符串与平台 POI ID。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转换坐标系后仅把空间距离作为辅助，不以“附近”推定同一住宅。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小区和至少两个独立来源证据都必须处于 180 天有效窗口内。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单平台、日期非法、证据过期或字段冲突的记录留在候选层。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color w:val="7A5A00"/>
        </w:rPr>
        <w:t>禁止推断：</w:t>
      </w:r>
      <w:r>
        <w:rPr>
          <w:rFonts w:ascii="Calibri" w:hAnsi="Calibri" w:eastAsia="Microsoft YaHei"/>
          <w:i w:val="0"/>
          <w:color w:val="7A5A00"/>
        </w:rPr>
        <w:t>邮编合法、名称含“小区”或附近有住宅建筑都不能把普通地址提升为住宅地址。</w:t>
      </w:r>
    </w:p>
    <w:p>
      <w:pPr>
        <w:pStyle w:val="Heading1"/>
        <w:keepNext/>
        <w:keepLines/>
      </w:pPr>
      <w:r>
        <w:t>3. 自动同步与预算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800"/>
        <w:gridCol w:w="2860"/>
      </w:tblGrid>
      <w:tr>
        <w:trPr>
          <w:tblHeader w:val="true"/>
          <w:cantSplit/>
        </w:trPr>
        <w:tc>
          <w:tcPr>
            <w:tcW w:type="dxa" w:w="17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阶段</w:t>
            </w:r>
          </w:p>
        </w:tc>
        <w:tc>
          <w:tcPr>
            <w:tcW w:type="dxa" w:w="48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行为</w:t>
            </w:r>
          </w:p>
        </w:tc>
        <w:tc>
          <w:tcPr>
            <w:tcW w:type="dxa" w:w="286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失败处理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行政区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发现 AreaCity 新版后导入并与民政部版本对照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保留上版与 checkpoint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POI 采集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按区县/平台/页码调用，只使用免费预算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QPS 退避；额度耗尽暂停到下一周期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规范化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保留原始证据、坐标系和观测时间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异常记录进隔离层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发布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候选快照通过 E3 门禁后原子切换 active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门禁失败继续使用上一 active 快照</w:t>
            </w:r>
          </w:p>
        </w:tc>
      </w:tr>
    </w:tbl>
    <w:p>
      <w:pPr>
        <w:spacing w:after="0"/>
      </w:pP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高德、百度、腾讯的额度以官方控制台、接口响应和管理员预算中的更小值为准。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腾讯 `120` 按 QPS 冷却，`121` 按当日额度耗尽暂停；checkpoint 不重复消耗已完成页。</w:t>
      </w:r>
    </w:p>
    <w:p>
      <w:pPr>
        <w:pStyle w:val="Heading1"/>
        <w:keepNext/>
        <w:keepLines/>
      </w:pPr>
      <w:r>
        <w:t>4. Key 分类、轮换与安全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2700"/>
        <w:gridCol w:w="1500"/>
        <w:gridCol w:w="2710"/>
      </w:tblGrid>
      <w:tr>
        <w:trPr>
          <w:tblHeader w:val="true"/>
          <w:cantSplit/>
        </w:trPr>
        <w:tc>
          <w:tcPr>
            <w:tcW w:type="dxa" w:w="245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变量/凭据</w:t>
            </w:r>
          </w:p>
        </w:tc>
        <w:tc>
          <w:tcPr>
            <w:tcW w:type="dxa" w:w="27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用途</w:t>
            </w:r>
          </w:p>
        </w:tc>
        <w:tc>
          <w:tcPr>
            <w:tcW w:type="dxa" w:w="15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浏览器</w:t>
            </w:r>
          </w:p>
        </w:tc>
        <w:tc>
          <w:tcPr>
            <w:tcW w:type="dxa" w:w="271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保存边界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7"/>
              </w:rPr>
              <w:t>AMAP_API_KEY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仅服务端中国 POI 同步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不可见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AES-256-GCM 密文；可添加多个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7"/>
              </w:rPr>
              <w:t>BAIDU_API_KEY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仅服务端 POI 同步/交叉验证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不可见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AES-256-GCM 密文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7"/>
              </w:rPr>
              <w:t>TENCENT_API_KEY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仅服务端 POI 同步/交叉验证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不可见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AES-256-GCM 密文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7"/>
              </w:rPr>
              <w:t>AMAP_JS_API_KEY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域名白名单专用浏览器 Key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启用时网络可见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与同步 Key 分离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7"/>
              </w:rPr>
              <w:t>AMAP_JS_SECURITY_CODE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高德 JS API 服务端代理鉴权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不可见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AES-GCM 密文；仅 `/_AMapService`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7"/>
              </w:rPr>
              <w:t>CONFIG_MASTER_KEY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加密上述私密配置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不可见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7"/>
              </w:rPr>
              <w:t>仅权限 600 的本地/VPS 运行文件</w:t>
            </w:r>
          </w:p>
        </w:tc>
      </w:tr>
    </w:tbl>
    <w:p>
      <w:pPr>
        <w:spacing w:after="0"/>
      </w:pP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同平台多 Key 按启用状态、冷却、最近使用时间和剩余预算选择；同账户 Key 可能共享额度。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后台只显示掩码和状态，不回传旧值；文档和配置示例只使用空值或占位符。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Security Code、同步 Key 和其他 Token 不进入前端、Git、日志、截图或 API 原始响应。</w:t>
      </w:r>
    </w:p>
    <w:p>
      <w:pPr>
        <w:pStyle w:val="Heading1"/>
        <w:keepNext/>
        <w:keepLines/>
      </w:pPr>
      <w:r>
        <w:t>5. 地图显示与运行边界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1500"/>
        <w:gridCol w:w="4460"/>
      </w:tblGrid>
      <w:tr>
        <w:trPr>
          <w:tblHeader w:val="true"/>
          <w:cantSplit/>
        </w:trPr>
        <w:tc>
          <w:tcPr>
            <w:tcW w:type="dxa" w:w="19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地区</w:t>
            </w:r>
          </w:p>
        </w:tc>
        <w:tc>
          <w:tcPr>
            <w:tcW w:type="dxa" w:w="15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Google</w:t>
            </w:r>
          </w:p>
        </w:tc>
        <w:tc>
          <w:tcPr>
            <w:tcW w:type="dxa" w:w="15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高德</w:t>
            </w:r>
          </w:p>
        </w:tc>
        <w:tc>
          <w:tcPr>
            <w:tcW w:type="dxa" w:w="446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中国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默认开启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默认关闭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WGS-84 转 GCJ-02 后放置标记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其他国家/地区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默认开启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默认关闭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开启高德前必须确认世界地图权限</w:t>
            </w:r>
          </w:p>
        </w:tc>
      </w:tr>
    </w:tbl>
    <w:p>
      <w:pPr>
        <w:spacing w:after="0"/>
      </w:pP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Google/高德的中国与国外四个开关完全独立；全部关闭时不加载地图网络资源。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高德 JS Key 必须设置正式域名白名单；`/_AMapService` 只转发到固定高德上游。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地图显示不参与 E1/E2/E3 证据评级，加载失败不改变地址记录。</w:t>
      </w:r>
    </w:p>
    <w:p>
      <w:pPr>
        <w:pStyle w:val="Heading1"/>
        <w:keepNext/>
        <w:keepLines/>
      </w:pPr>
      <w:r>
        <w:t>6. VPS、Git 与验收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400"/>
        <w:gridCol w:w="3460"/>
      </w:tblGrid>
      <w:tr>
        <w:trPr>
          <w:tblHeader w:val="true"/>
          <w:cantSplit/>
        </w:trPr>
        <w:tc>
          <w:tcPr>
            <w:tcW w:type="dxa" w:w="25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位置</w:t>
            </w:r>
          </w:p>
        </w:tc>
        <w:tc>
          <w:tcPr>
            <w:tcW w:type="dxa" w:w="340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允许</w:t>
            </w:r>
          </w:p>
        </w:tc>
        <w:tc>
          <w:tcPr>
            <w:tcW w:type="dxa" w:w="3460"/>
            <w:shd w:fill="E8EEF5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禁止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本地 D:\address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代码、文档、空库/脱敏夹具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生产数据、原始响应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VPS /root/address/data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生产 SQLite、WAL/SHM、checkpoint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Git 暂存区和公开发布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VPS /root/address/runtime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权限 600 的运行配置和主密钥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源码、构建产物、日志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sz w:val="18"/>
              </w:rPr>
              <w:t>GitHub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源码、公共文档、空占位配置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Key、Token、证书、数据库、日志</w:t>
            </w:r>
          </w:p>
        </w:tc>
      </w:tr>
    </w:tbl>
    <w:p>
      <w:pPr>
        <w:spacing w:after="0"/>
      </w:pP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本地验证后启动本地服务供用户验收；未经用户确认不提交、推送或部署。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生产快照门禁失败时保留上一 active 快照，不把生产库下载到本地。</w:t>
      </w:r>
    </w:p>
    <w:p>
      <w:pPr>
        <w:numPr>
          <w:ilvl w:val="0"/>
          <w:numId w:val="901"/>
        </w:numPr>
        <w:spacing w:before="0" w:after="40" w:line="300" w:lineRule="auto"/>
      </w:pPr>
      <w:r>
        <w:rPr>
          <w:rFonts w:ascii="Calibri" w:hAnsi="Calibri" w:eastAsia="Microsoft YaHei"/>
        </w:rPr>
        <w:t>验收覆盖 E3、门牌冲突、180 天有效期、四个地图开关、凭据掩码与回滚。</w:t>
      </w:r>
    </w:p>
    <w:p>
      <w:pPr>
        <w:pStyle w:val="Heading1"/>
        <w:keepNext/>
        <w:keepLines/>
      </w:pPr>
      <w:r>
        <w:t>7. 官方与项目入口</w:t>
      </w:r>
    </w:p>
    <w:p>
      <w:pPr>
        <w:numPr>
          <w:ilvl w:val="0"/>
          <w:numId w:val="901"/>
        </w:numPr>
        <w:spacing w:before="0" w:after="0" w:line="300" w:lineRule="auto"/>
      </w:pPr>
      <w:r>
        <w:rPr>
          <w:rFonts w:ascii="Calibri" w:hAnsi="Calibri" w:eastAsia="Microsoft YaHei"/>
        </w:rPr>
        <w:t>AreaCity/StatsGov：https://github.com/xiangyuecn/AreaCity-JsSpider-StatsGov</w:t>
      </w:r>
    </w:p>
    <w:p>
      <w:pPr>
        <w:numPr>
          <w:ilvl w:val="0"/>
          <w:numId w:val="901"/>
        </w:numPr>
        <w:spacing w:before="0" w:after="0" w:line="300" w:lineRule="auto"/>
      </w:pPr>
      <w:r>
        <w:rPr>
          <w:rFonts w:ascii="Calibri" w:hAnsi="Calibri" w:eastAsia="Microsoft YaHei"/>
        </w:rPr>
        <w:t>民政部行政区划版本：https://dmfw.mca.gov.cn/XzqhVersionPublish.html</w:t>
      </w:r>
    </w:p>
    <w:p>
      <w:pPr>
        <w:numPr>
          <w:ilvl w:val="0"/>
          <w:numId w:val="901"/>
        </w:numPr>
        <w:spacing w:before="0" w:after="0" w:line="300" w:lineRule="auto"/>
      </w:pPr>
      <w:r>
        <w:rPr>
          <w:rFonts w:ascii="Calibri" w:hAnsi="Calibri" w:eastAsia="Microsoft YaHei"/>
        </w:rPr>
        <w:t>高德 JS 安全密钥：https://lbs.amap.com/api/javascript-api-v2/guide/abc/jscode</w:t>
      </w:r>
    </w:p>
    <w:p>
      <w:pPr>
        <w:numPr>
          <w:ilvl w:val="0"/>
          <w:numId w:val="901"/>
        </w:numPr>
        <w:spacing w:before="0" w:after="0" w:line="300" w:lineRule="auto"/>
      </w:pPr>
      <w:r>
        <w:rPr>
          <w:rFonts w:ascii="Calibri" w:hAnsi="Calibri" w:eastAsia="Microsoft YaHei"/>
        </w:rPr>
        <w:t>高德世界地图：https://lbs.amap.com/api/javascript-api-v2/guide/map/world-map</w:t>
      </w:r>
    </w:p>
    <w:p>
      <w:pPr>
        <w:numPr>
          <w:ilvl w:val="0"/>
          <w:numId w:val="901"/>
        </w:numPr>
        <w:spacing w:before="0" w:after="0" w:line="300" w:lineRule="auto"/>
      </w:pPr>
      <w:r>
        <w:rPr>
          <w:rFonts w:ascii="Calibri" w:hAnsi="Calibri" w:eastAsia="Microsoft YaHei"/>
        </w:rPr>
        <w:t>项目统一方案：../data-sources.md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085"/>
        <w:sz w:val="17"/>
      </w:rPr>
      <w:t xml:space="preserve">第 </w:t>
    </w:r>
    <w:r>
      <w:rPr>
        <w:rFonts w:ascii="Calibri" w:hAnsi="Calibri" w:eastAsia="Microsoft YaHei"/>
        <w:color w:val="667085"/>
        <w:sz w:val="17"/>
      </w:rP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pBdr>
        <w:bottom w:val="single" w:sz="4" w:space="4" w:color="D9E1EA"/>
      </w:pBdr>
    </w:pPr>
    <w:r>
      <w:rPr>
        <w:rFonts w:ascii="Calibri" w:hAnsi="Calibri" w:eastAsia="Microsoft YaHei"/>
        <w:color w:val="667085"/>
        <w:sz w:val="17"/>
      </w:rPr>
      <w:t>Address · CN 策略文档</w:t>
    </w:r>
    <w:r>
      <w:rPr>
        <w:rFonts w:ascii="Calibri" w:hAnsi="Calibri" w:eastAsia="Microsoft YaHei"/>
        <w:color w:val="667085"/>
        <w:sz w:val="17"/>
      </w:rPr>
      <w:tab/>
      <w:t>2026-07-28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"/>
      </w:rPr>
    </w:lvl>
  </w:abstractNum>
  <w:num w:numId="901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"/>
      </w:rPr>
    </w:lvl>
  </w:abstractNum>
  <w:num w:numId="902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"/>
      </w:rPr>
    </w:lvl>
  </w:abstractNum>
  <w:num w:numId="9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 中国地址生成与 Key 轮换策略</dc:title>
  <dc:subject>严格真实住宅地址、同步、凭据与地图安全</dc:subject>
  <dc:creator>Address Project</dc:creator>
  <cp:keywords>CN, address, residential, AMap, Baidu, Tencent, key rotation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