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Assessment of ability of surgical RCTs to meaningfully inform clinical practice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48"/>
        <w:gridCol w:w="1487"/>
        <w:gridCol w:w="1609"/>
      </w:tblGrid>
      <w:tr>
        <w:trPr>
          <w:trHeight w:val="73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Pilot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Final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RCTs fulfilling four criteria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(4.6%)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Reported specific primary 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(56.3%)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(37.7%)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Discrepancy between pretrial document and final RCT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(6.0%)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design aligned with reported trial hypothesis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(13.2%)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(1.2%)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Discrepancy between pretrial document and final RCT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(52.9%)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(85.6%)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size calculation based on clinical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(11.4%)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(37.7%)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Discrepancy between pretrial document and final RCT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(50.3%)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 interpreted based on clinical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(15.6%)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(43.1%)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(41.3%)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Results are expressed in numbers (percentage(%))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RCT, Randomized controlled trial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2026-05-26T08:37:25Z</dcterms:modified>
  <cp:category/>
</cp:coreProperties>
</file>