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ETable 1. Additional characteristics of surgical randomized controlled trials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522"/>
        <w:gridCol w:w="1487"/>
        <w:gridCol w:w="1609"/>
      </w:tblGrid>
      <w:tr>
        <w:trPr>
          <w:trHeight w:val="73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Pilot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Final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hypothesis corresponding to the trial design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Superiority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(88.5%)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 (94.0%)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Non-inferiority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Equivalence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(1.2%)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Statistical significance achieved for primary 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(31.1%)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(25.7%)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applicable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(43.1%)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Results are expressed in numbers (percentage(%))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NA, Not applicable; RCT, Randomized controlled trial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2026-05-29T12:10:08Z</dcterms:modified>
  <cp:category/>
</cp:coreProperties>
</file>