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E24" w14:textId="77777777" w:rsidR="00E53D2C" w:rsidRPr="00E53D2C" w:rsidRDefault="00E53D2C" w:rsidP="00E53D2C">
      <w:pPr>
        <w:spacing w:line="480" w:lineRule="auto"/>
        <w:jc w:val="center"/>
        <w:rPr>
          <w:rFonts w:ascii="Calibri" w:hAnsi="Calibri" w:cs="Calibri"/>
          <w:b/>
          <w:bCs/>
        </w:rPr>
      </w:pPr>
      <w:r w:rsidRPr="00E53D2C">
        <w:rPr>
          <w:rFonts w:ascii="Calibri" w:hAnsi="Calibri" w:cs="Calibri"/>
          <w:b/>
          <w:bCs/>
        </w:rPr>
        <w:t>Use of the Comprehensive Complication Index (CCI®) as an Endpoint in Randomized Controlled Trials: A Systematic Evaluation of Protocols and Publications</w:t>
      </w:r>
    </w:p>
    <w:p w14:paraId="15A5420A" w14:textId="77777777" w:rsidR="00E53D2C" w:rsidRPr="00E53D2C" w:rsidRDefault="00E53D2C" w:rsidP="00E53D2C">
      <w:pPr>
        <w:spacing w:line="480" w:lineRule="auto"/>
        <w:rPr>
          <w:rFonts w:ascii="Calibri" w:hAnsi="Calibri" w:cs="Calibri"/>
        </w:rPr>
      </w:pPr>
    </w:p>
    <w:p w14:paraId="13162A64" w14:textId="08BFCF21" w:rsidR="00E53D2C" w:rsidRPr="00E53D2C" w:rsidRDefault="00E53D2C" w:rsidP="00E53D2C">
      <w:pPr>
        <w:spacing w:line="480" w:lineRule="auto"/>
        <w:rPr>
          <w:rFonts w:ascii="Calibri" w:hAnsi="Calibri" w:cs="Calibri"/>
        </w:rPr>
      </w:pPr>
      <w:r w:rsidRPr="00E53D2C">
        <w:rPr>
          <w:rFonts w:ascii="Calibri" w:hAnsi="Calibri" w:cs="Calibri"/>
        </w:rPr>
        <w:t xml:space="preserve">Matthias Pfister, MD; Milo A Puhan, MD, PhD; Pierre-Alain Clavien, MD, </w:t>
      </w:r>
      <w:proofErr w:type="gramStart"/>
      <w:r w:rsidRPr="00E53D2C">
        <w:rPr>
          <w:rFonts w:ascii="Calibri" w:hAnsi="Calibri" w:cs="Calibri"/>
        </w:rPr>
        <w:t>PhD;</w:t>
      </w:r>
      <w:proofErr w:type="gramEnd"/>
    </w:p>
    <w:p w14:paraId="79F96455" w14:textId="423B457C" w:rsidR="00E53D2C" w:rsidRPr="00E53D2C" w:rsidRDefault="00E53D2C" w:rsidP="00E53D2C">
      <w:pPr>
        <w:spacing w:line="480" w:lineRule="auto"/>
        <w:rPr>
          <w:rFonts w:ascii="Calibri" w:hAnsi="Calibri" w:cs="Calibri"/>
        </w:rPr>
      </w:pPr>
    </w:p>
    <w:p w14:paraId="2209489E" w14:textId="5B850EDD" w:rsidR="00E53D2C" w:rsidRPr="00E53D2C" w:rsidRDefault="00E53D2C" w:rsidP="00E53D2C">
      <w:pPr>
        <w:autoSpaceDE w:val="0"/>
        <w:autoSpaceDN w:val="0"/>
        <w:adjustRightInd w:val="0"/>
        <w:ind w:left="142"/>
        <w:rPr>
          <w:rFonts w:ascii="Calibri" w:hAnsi="Calibri" w:cs="Calibri"/>
          <w:i/>
          <w:iCs/>
        </w:rPr>
      </w:pPr>
      <w:r w:rsidRPr="00E53D2C">
        <w:rPr>
          <w:rFonts w:ascii="Calibri" w:hAnsi="Calibri" w:cs="Calibri"/>
          <w:i/>
          <w:iCs/>
        </w:rPr>
        <w:br/>
      </w:r>
      <w:r w:rsidRPr="00E53D2C">
        <w:rPr>
          <w:rFonts w:ascii="Calibri" w:hAnsi="Calibri" w:cs="Calibri"/>
          <w:i/>
          <w:iCs/>
          <w:vertAlign w:val="superscript"/>
        </w:rPr>
        <w:t>2</w:t>
      </w:r>
      <w:r w:rsidRPr="00E53D2C">
        <w:rPr>
          <w:rFonts w:ascii="Calibri" w:hAnsi="Calibri" w:cs="Calibri"/>
          <w:i/>
          <w:iCs/>
        </w:rPr>
        <w:t>Epidemiology, Biostatistics and Prevention Institute, University of Zurich, Zurich (Switzerland)</w:t>
      </w:r>
      <w:r w:rsidRPr="00E53D2C">
        <w:rPr>
          <w:rFonts w:ascii="Calibri" w:hAnsi="Calibri" w:cs="Calibri"/>
          <w:i/>
          <w:iCs/>
        </w:rPr>
        <w:br/>
      </w:r>
      <w:r w:rsidRPr="00E53D2C">
        <w:rPr>
          <w:rFonts w:ascii="Calibri" w:hAnsi="Calibri" w:cs="Calibri"/>
          <w:i/>
          <w:iCs/>
        </w:rPr>
        <w:br/>
      </w:r>
      <w:r w:rsidRPr="00E53D2C">
        <w:rPr>
          <w:rFonts w:ascii="Calibri" w:hAnsi="Calibri" w:cs="Calibri"/>
          <w:i/>
          <w:iCs/>
          <w:vertAlign w:val="superscript"/>
        </w:rPr>
        <w:t>3</w:t>
      </w:r>
      <w:r w:rsidRPr="00E53D2C">
        <w:rPr>
          <w:rFonts w:ascii="Calibri" w:hAnsi="Calibri" w:cs="Calibri"/>
          <w:i/>
          <w:iCs/>
          <w:color w:val="212121"/>
          <w:shd w:val="clear" w:color="auto" w:fill="FFFFFF"/>
        </w:rPr>
        <w:t>Wyss Zurich Translational Center, ETH Zurich and University of Zurich, Zurich (Switzerland)</w:t>
      </w:r>
      <w:r w:rsidRPr="00E53D2C">
        <w:rPr>
          <w:rFonts w:ascii="Calibri" w:hAnsi="Calibri" w:cs="Calibri"/>
          <w:i/>
          <w:iCs/>
          <w:color w:val="212121"/>
          <w:shd w:val="clear" w:color="auto" w:fill="FFFFFF"/>
        </w:rPr>
        <w:br/>
      </w:r>
      <w:r w:rsidRPr="00E53D2C">
        <w:rPr>
          <w:rFonts w:ascii="Calibri" w:hAnsi="Calibri" w:cs="Calibri"/>
          <w:i/>
          <w:iCs/>
          <w:color w:val="212121"/>
          <w:shd w:val="clear" w:color="auto" w:fill="FFFFFF"/>
        </w:rPr>
        <w:br/>
      </w:r>
      <w:r w:rsidRPr="00E53D2C">
        <w:rPr>
          <w:rFonts w:ascii="Calibri" w:hAnsi="Calibri" w:cs="Calibri"/>
          <w:i/>
          <w:iCs/>
          <w:vertAlign w:val="superscript"/>
        </w:rPr>
        <w:t>4</w:t>
      </w:r>
      <w:r w:rsidRPr="00E53D2C">
        <w:rPr>
          <w:rFonts w:ascii="Calibri" w:hAnsi="Calibri" w:cs="Calibri"/>
          <w:i/>
          <w:iCs/>
          <w:color w:val="212121"/>
          <w:shd w:val="clear" w:color="auto" w:fill="FFFFFF"/>
        </w:rPr>
        <w:t>Department of Visceral, Thoracic, Vascular Surgery and Angiology, City Hospital Triemli, Zürich (Switzerland)</w:t>
      </w:r>
      <w:r w:rsidRPr="00E53D2C">
        <w:rPr>
          <w:rFonts w:ascii="Calibri" w:hAnsi="Calibri" w:cs="Calibri"/>
          <w:i/>
          <w:iCs/>
          <w:color w:val="212121"/>
          <w:shd w:val="clear" w:color="auto" w:fill="FFFFFF"/>
        </w:rPr>
        <w:br/>
      </w:r>
      <w:r w:rsidRPr="00E53D2C">
        <w:rPr>
          <w:rFonts w:ascii="Calibri" w:hAnsi="Calibri" w:cs="Calibri"/>
          <w:i/>
          <w:iCs/>
          <w:vertAlign w:val="superscript"/>
        </w:rPr>
        <w:br/>
        <w:t>5</w:t>
      </w:r>
      <w:r w:rsidRPr="00E53D2C">
        <w:rPr>
          <w:rFonts w:ascii="Calibri" w:hAnsi="Calibri" w:cs="Calibri"/>
          <w:i/>
          <w:iCs/>
        </w:rPr>
        <w:t>Professor of Surgery and Transplantation, University of Zurich, Wyss Translational Center, Swiss Medical Network, Zurich (Switzerland)</w:t>
      </w:r>
      <w:r w:rsidRPr="00E53D2C">
        <w:rPr>
          <w:rFonts w:ascii="Calibri" w:hAnsi="Calibri" w:cs="Calibri"/>
          <w:i/>
          <w:iCs/>
        </w:rPr>
        <w:br/>
      </w:r>
    </w:p>
    <w:p w14:paraId="67F5EF26" w14:textId="77777777" w:rsidR="00E53D2C" w:rsidRPr="00E53D2C" w:rsidRDefault="00E53D2C" w:rsidP="00E53D2C">
      <w:pPr>
        <w:autoSpaceDE w:val="0"/>
        <w:autoSpaceDN w:val="0"/>
        <w:adjustRightInd w:val="0"/>
        <w:rPr>
          <w:rFonts w:ascii="Calibri" w:hAnsi="Calibri" w:cs="Calibri"/>
        </w:rPr>
      </w:pPr>
    </w:p>
    <w:p w14:paraId="60E47293" w14:textId="77777777" w:rsidR="00E53D2C" w:rsidRPr="00E53D2C" w:rsidRDefault="00E53D2C" w:rsidP="00E53D2C">
      <w:pPr>
        <w:pStyle w:val="Lehmannheading2"/>
        <w:tabs>
          <w:tab w:val="left" w:pos="3544"/>
        </w:tabs>
        <w:snapToGrid w:val="0"/>
        <w:spacing w:before="0" w:line="240" w:lineRule="auto"/>
        <w:contextualSpacing/>
        <w:rPr>
          <w:rFonts w:ascii="Calibri" w:hAnsi="Calibri" w:cs="Calibri"/>
          <w:color w:val="000000"/>
          <w:sz w:val="24"/>
          <w:szCs w:val="24"/>
        </w:rPr>
      </w:pPr>
      <w:r w:rsidRPr="00E53D2C">
        <w:rPr>
          <w:rFonts w:ascii="Calibri" w:hAnsi="Calibri" w:cs="Calibri"/>
          <w:noProof/>
          <w:color w:val="000000" w:themeColor="text1"/>
          <w:sz w:val="24"/>
          <w:szCs w:val="24"/>
        </w:rPr>
        <w:drawing>
          <wp:inline distT="0" distB="0" distL="0" distR="0" wp14:anchorId="3A4EFF72" wp14:editId="03AA897E">
            <wp:extent cx="166370" cy="166370"/>
            <wp:effectExtent l="0" t="0" r="5080" b="5080"/>
            <wp:docPr id="1169593216" name="Grafik 11695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E53D2C">
        <w:rPr>
          <w:rFonts w:ascii="Calibri" w:hAnsi="Calibri" w:cs="Calibri"/>
          <w:color w:val="000000" w:themeColor="text1"/>
          <w:sz w:val="24"/>
          <w:szCs w:val="24"/>
        </w:rPr>
        <w:t xml:space="preserve"> Corresponding author: </w:t>
      </w:r>
      <w:r w:rsidRPr="00E53D2C">
        <w:rPr>
          <w:rFonts w:ascii="Calibri" w:hAnsi="Calibri" w:cs="Calibri"/>
          <w:color w:val="000000" w:themeColor="text1"/>
          <w:sz w:val="24"/>
          <w:szCs w:val="24"/>
        </w:rPr>
        <w:tab/>
      </w:r>
      <w:r w:rsidRPr="00E53D2C">
        <w:rPr>
          <w:rFonts w:ascii="Calibri" w:hAnsi="Calibri" w:cs="Calibri"/>
          <w:sz w:val="24"/>
          <w:szCs w:val="24"/>
        </w:rPr>
        <w:t>Pierre-A Clavien, MD, PhD</w:t>
      </w:r>
    </w:p>
    <w:p w14:paraId="370C4F37" w14:textId="77777777" w:rsidR="00E53D2C" w:rsidRPr="00E53D2C" w:rsidRDefault="00E53D2C" w:rsidP="00E53D2C">
      <w:pPr>
        <w:tabs>
          <w:tab w:val="left" w:pos="3544"/>
        </w:tabs>
        <w:snapToGrid w:val="0"/>
        <w:ind w:firstLine="3119"/>
        <w:contextualSpacing/>
        <w:textAlignment w:val="baseline"/>
        <w:rPr>
          <w:rFonts w:ascii="Calibri" w:hAnsi="Calibri" w:cs="Calibri"/>
          <w:color w:val="000000"/>
        </w:rPr>
      </w:pPr>
      <w:r w:rsidRPr="00E53D2C">
        <w:rPr>
          <w:rFonts w:ascii="Calibri" w:hAnsi="Calibri" w:cs="Calibri"/>
          <w:i/>
          <w:iCs/>
          <w:color w:val="201F1E"/>
        </w:rPr>
        <w:tab/>
        <w:t>University of Zurich and Wyss Translational Center</w:t>
      </w:r>
    </w:p>
    <w:p w14:paraId="6E47B457"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Swiss Medical Network</w:t>
      </w:r>
    </w:p>
    <w:p w14:paraId="4FDE52C2"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r>
      <w:proofErr w:type="spellStart"/>
      <w:r w:rsidRPr="00E53D2C">
        <w:rPr>
          <w:rFonts w:ascii="Calibri" w:hAnsi="Calibri" w:cs="Calibri"/>
          <w:i/>
          <w:iCs/>
          <w:color w:val="201F1E"/>
        </w:rPr>
        <w:t>Toblerstrasse</w:t>
      </w:r>
      <w:proofErr w:type="spellEnd"/>
      <w:r w:rsidRPr="00E53D2C">
        <w:rPr>
          <w:rFonts w:ascii="Calibri" w:hAnsi="Calibri" w:cs="Calibri"/>
          <w:i/>
          <w:iCs/>
          <w:color w:val="201F1E"/>
        </w:rPr>
        <w:t xml:space="preserve"> 51</w:t>
      </w:r>
    </w:p>
    <w:p w14:paraId="1F19BE8F"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8044 Zurich, Switzerland</w:t>
      </w:r>
    </w:p>
    <w:p w14:paraId="39B044DF" w14:textId="77777777" w:rsidR="00E53D2C" w:rsidRPr="00E53D2C" w:rsidRDefault="00E53D2C" w:rsidP="00E53D2C">
      <w:pPr>
        <w:tabs>
          <w:tab w:val="left" w:pos="3544"/>
        </w:tabs>
        <w:snapToGrid w:val="0"/>
        <w:contextualSpacing/>
        <w:textAlignment w:val="baseline"/>
        <w:rPr>
          <w:rStyle w:val="Hyperlink"/>
          <w:rFonts w:ascii="Calibri" w:hAnsi="Calibri" w:cs="Calibri"/>
          <w:i/>
          <w:iCs/>
          <w:bdr w:val="none" w:sz="0" w:space="0" w:color="auto" w:frame="1"/>
        </w:rPr>
      </w:pPr>
      <w:r w:rsidRPr="00E53D2C">
        <w:rPr>
          <w:rFonts w:ascii="Calibri" w:hAnsi="Calibri" w:cs="Calibri"/>
          <w:i/>
          <w:iCs/>
          <w:color w:val="201F1E"/>
        </w:rPr>
        <w:tab/>
        <w:t>Email:</w:t>
      </w:r>
      <w:r w:rsidRPr="00E53D2C">
        <w:rPr>
          <w:rFonts w:ascii="Calibri" w:hAnsi="Calibri" w:cs="Calibri"/>
          <w:i/>
          <w:iCs/>
          <w:color w:val="201F1E"/>
          <w:bdr w:val="none" w:sz="0" w:space="0" w:color="auto" w:frame="1"/>
        </w:rPr>
        <w:t> </w:t>
      </w:r>
      <w:hyperlink r:id="rId5" w:tgtFrame="_blank" w:history="1">
        <w:r w:rsidRPr="00E53D2C">
          <w:rPr>
            <w:rStyle w:val="Hyperlink"/>
            <w:rFonts w:ascii="Calibri" w:hAnsi="Calibri" w:cs="Calibri"/>
            <w:i/>
            <w:iCs/>
            <w:bdr w:val="none" w:sz="0" w:space="0" w:color="auto" w:frame="1"/>
          </w:rPr>
          <w:t>clavien@access.uzh.ch</w:t>
        </w:r>
      </w:hyperlink>
    </w:p>
    <w:p w14:paraId="3FA2FD40" w14:textId="77777777" w:rsidR="00E53D2C" w:rsidRPr="00E53D2C" w:rsidRDefault="00E53D2C" w:rsidP="00E53D2C">
      <w:pPr>
        <w:spacing w:line="480" w:lineRule="auto"/>
        <w:rPr>
          <w:rFonts w:ascii="Calibri" w:hAnsi="Calibri" w:cs="Calibri"/>
        </w:rPr>
      </w:pPr>
    </w:p>
    <w:p w14:paraId="54718507" w14:textId="4F75DB77" w:rsidR="00E53D2C" w:rsidRDefault="00E53D2C">
      <w:pPr>
        <w:rPr>
          <w:rFonts w:ascii="Calibri" w:hAnsi="Calibri" w:cs="Calibri"/>
        </w:rPr>
      </w:pPr>
      <w:r>
        <w:rPr>
          <w:rFonts w:ascii="Calibri" w:hAnsi="Calibri" w:cs="Calibri"/>
        </w:rPr>
        <w:br w:type="page"/>
      </w:r>
    </w:p>
    <w:p w14:paraId="7FE32DA1"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lastRenderedPageBreak/>
        <w:t>Background and Aims</w:t>
      </w:r>
    </w:p>
    <w:p w14:paraId="66080E6F" w14:textId="369DC5C7" w:rsidR="00E53D2C" w:rsidRPr="00E53D2C" w:rsidRDefault="00E53D2C" w:rsidP="00E53D2C">
      <w:pPr>
        <w:spacing w:line="480" w:lineRule="auto"/>
        <w:rPr>
          <w:rFonts w:ascii="Calibri" w:hAnsi="Calibri" w:cs="Calibri"/>
        </w:rPr>
      </w:pPr>
      <w:r w:rsidRPr="00E53D2C">
        <w:rPr>
          <w:rFonts w:ascii="Calibri" w:hAnsi="Calibri" w:cs="Calibri"/>
        </w:rPr>
        <w:t>Quality in surgery depends not only on patient outcomes but also on the methodological rigor of clinical research. Postoperative morbidity is a core component of surgical quality assessment, yet its measurement and reporting remain inconsistent. The Comprehensive Complication Index (CCI®) provides a continuous, weighted assessment of all postoperative complications, allowing a more nuanced quantification of surgical outcomes. Recently, a</w:t>
      </w:r>
      <w:r w:rsidRPr="00E53D2C">
        <w:rPr>
          <w:rFonts w:ascii="Calibri" w:hAnsi="Calibri" w:cs="Calibri"/>
          <w:b/>
          <w:bCs/>
        </w:rPr>
        <w:t xml:space="preserve"> </w:t>
      </w:r>
      <w:r w:rsidRPr="00E53D2C">
        <w:rPr>
          <w:rStyle w:val="Fett"/>
          <w:rFonts w:ascii="Calibri" w:hAnsi="Calibri" w:cs="Calibri"/>
          <w:b w:val="0"/>
          <w:bCs w:val="0"/>
        </w:rPr>
        <w:t>minimal important difference (MID) of 12 points</w:t>
      </w:r>
      <w:r w:rsidRPr="00E53D2C">
        <w:rPr>
          <w:rFonts w:ascii="Calibri" w:hAnsi="Calibri" w:cs="Calibri"/>
        </w:rPr>
        <w:t xml:space="preserve"> was established, defining the threshold for clinically meaningful changes in morbidity. Despite increasing use of the CCI® in randomized controlled trials (RCTs), it remains unclear how consistently it is applied and whether its declaration in registered protocols aligns with the corresponding publications. This study aimed to systematically evaluate the use of the CCI® in surgical RCTs, to assess protocol–publication concordance as an indicator of research quality, and to determine whether observed between-group differences exceeded the 12-point MID, reflecting clinical relevance.</w:t>
      </w:r>
    </w:p>
    <w:p w14:paraId="4BE0988A" w14:textId="77777777" w:rsidR="00E53D2C" w:rsidRPr="00E53D2C" w:rsidRDefault="00E53D2C" w:rsidP="00E53D2C">
      <w:pPr>
        <w:spacing w:line="480" w:lineRule="auto"/>
        <w:rPr>
          <w:rFonts w:ascii="Calibri" w:hAnsi="Calibri" w:cs="Calibri"/>
        </w:rPr>
      </w:pPr>
    </w:p>
    <w:p w14:paraId="5E1EB408"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t>Study Design</w:t>
      </w:r>
    </w:p>
    <w:p w14:paraId="4254CBC6" w14:textId="63766DE3" w:rsidR="00E53D2C" w:rsidRPr="00867646" w:rsidRDefault="00867646" w:rsidP="00E53D2C">
      <w:pPr>
        <w:spacing w:line="480" w:lineRule="auto"/>
        <w:rPr>
          <w:rFonts w:ascii="Calibri" w:hAnsi="Calibri" w:cs="Calibri"/>
        </w:rPr>
      </w:pPr>
      <w:r>
        <w:t>Through a</w:t>
      </w:r>
      <w:r w:rsidRPr="00867646">
        <w:t xml:space="preserve"> systematic literature search in Scopus (August 2023, updated </w:t>
      </w:r>
      <w:r>
        <w:t xml:space="preserve">July </w:t>
      </w:r>
      <w:r w:rsidRPr="00867646">
        <w:t xml:space="preserve">2025) </w:t>
      </w:r>
      <w:r>
        <w:t xml:space="preserve">we </w:t>
      </w:r>
      <w:r w:rsidRPr="00867646">
        <w:t xml:space="preserve">identified </w:t>
      </w:r>
      <w:r>
        <w:t xml:space="preserve">all </w:t>
      </w:r>
      <w:r w:rsidRPr="00867646">
        <w:t xml:space="preserve">randomized controlled trials (RCTs) </w:t>
      </w:r>
      <w:r>
        <w:t>using</w:t>
      </w:r>
      <w:r w:rsidRPr="00867646">
        <w:t xml:space="preserve"> </w:t>
      </w:r>
      <w:r>
        <w:t xml:space="preserve">the </w:t>
      </w:r>
      <w:r w:rsidRPr="00867646">
        <w:t xml:space="preserve">CCI® </w:t>
      </w:r>
      <w:r>
        <w:t>as an endpoint</w:t>
      </w:r>
      <w:r w:rsidRPr="00867646">
        <w:t xml:space="preserve">. Extracted data included the designation of the CCI® (primary, secondary, or exploratory endpoint), trial </w:t>
      </w:r>
      <w:r>
        <w:t>framework</w:t>
      </w:r>
      <w:r w:rsidRPr="00867646">
        <w:t xml:space="preserve"> (superiority</w:t>
      </w:r>
      <w:r>
        <w:t xml:space="preserve">, </w:t>
      </w:r>
      <w:r w:rsidRPr="00867646">
        <w:t>non-inferiority</w:t>
      </w:r>
      <w:r>
        <w:t>, or equivalence</w:t>
      </w:r>
      <w:r w:rsidRPr="00867646">
        <w:t xml:space="preserve">), and whether sample size calculations were based on the CCI®. The same </w:t>
      </w:r>
      <w:r>
        <w:t>parameters</w:t>
      </w:r>
      <w:r w:rsidRPr="00867646">
        <w:t xml:space="preserve"> were evaluated in the corresponding </w:t>
      </w:r>
      <w:r>
        <w:t>pre-trial documentation</w:t>
      </w:r>
      <w:r w:rsidRPr="00867646">
        <w:t xml:space="preserve"> to </w:t>
      </w:r>
      <w:r>
        <w:t>assess concordance and identify discrepancies bet</w:t>
      </w:r>
      <w:r w:rsidRPr="00867646">
        <w:t xml:space="preserve">ween </w:t>
      </w:r>
      <w:r w:rsidRPr="00867646">
        <w:rPr>
          <w:rStyle w:val="Fett"/>
          <w:b w:val="0"/>
          <w:bCs w:val="0"/>
        </w:rPr>
        <w:t>planification and publication of results</w:t>
      </w:r>
      <w:r w:rsidRPr="00867646">
        <w:t xml:space="preserve">. For RCTs defining the </w:t>
      </w:r>
      <w:r w:rsidRPr="00867646">
        <w:lastRenderedPageBreak/>
        <w:t>CCI® as the primary endpoint, we assessed statistical significance, the magnitude of between-group differences, and whether clinical significance was addressed.</w:t>
      </w:r>
    </w:p>
    <w:p w14:paraId="5B37AA11"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t>Results</w:t>
      </w:r>
    </w:p>
    <w:p w14:paraId="64A73CA3" w14:textId="4C8D8ED9" w:rsidR="00867646" w:rsidRDefault="0018618F" w:rsidP="00E53D2C">
      <w:pPr>
        <w:spacing w:line="480" w:lineRule="auto"/>
        <w:rPr>
          <w:rFonts w:ascii="Calibri" w:hAnsi="Calibri" w:cs="Calibri"/>
        </w:rPr>
      </w:pPr>
      <w:r>
        <w:rPr>
          <w:rFonts w:ascii="Calibri" w:hAnsi="Calibri" w:cs="Calibri"/>
        </w:rPr>
        <w:t xml:space="preserve">Of 1612 papers citing the CCI® up to July 2025, we identified </w:t>
      </w:r>
      <w:r w:rsidR="00867646">
        <w:rPr>
          <w:rFonts w:ascii="Calibri" w:hAnsi="Calibri" w:cs="Calibri"/>
        </w:rPr>
        <w:t>90</w:t>
      </w:r>
      <w:r>
        <w:rPr>
          <w:rFonts w:ascii="Calibri" w:hAnsi="Calibri" w:cs="Calibri"/>
        </w:rPr>
        <w:t xml:space="preserve"> </w:t>
      </w:r>
      <w:r w:rsidR="00867646">
        <w:rPr>
          <w:rFonts w:ascii="Calibri" w:hAnsi="Calibri" w:cs="Calibri"/>
        </w:rPr>
        <w:t xml:space="preserve">published </w:t>
      </w:r>
      <w:r>
        <w:rPr>
          <w:rFonts w:ascii="Calibri" w:hAnsi="Calibri" w:cs="Calibri"/>
        </w:rPr>
        <w:t>RCTs</w:t>
      </w:r>
      <w:r w:rsidR="00867646">
        <w:rPr>
          <w:rFonts w:ascii="Calibri" w:hAnsi="Calibri" w:cs="Calibri"/>
        </w:rPr>
        <w:t xml:space="preserve"> and 49 ongoing RCTs</w:t>
      </w:r>
      <w:r>
        <w:rPr>
          <w:rFonts w:ascii="Calibri" w:hAnsi="Calibri" w:cs="Calibri"/>
        </w:rPr>
        <w:t xml:space="preserve"> using the CCI® to assess morbidity</w:t>
      </w:r>
      <w:r w:rsidR="00867646">
        <w:rPr>
          <w:rFonts w:ascii="Calibri" w:hAnsi="Calibri" w:cs="Calibri"/>
        </w:rPr>
        <w:t xml:space="preserve"> (</w:t>
      </w:r>
      <w:r w:rsidR="00867646" w:rsidRPr="00867646">
        <w:rPr>
          <w:rFonts w:ascii="Calibri" w:hAnsi="Calibri" w:cs="Calibri"/>
          <w:b/>
          <w:bCs/>
        </w:rPr>
        <w:t>Figure 1</w:t>
      </w:r>
      <w:r w:rsidR="00867646">
        <w:rPr>
          <w:rFonts w:ascii="Calibri" w:hAnsi="Calibri" w:cs="Calibri"/>
        </w:rPr>
        <w:t>)</w:t>
      </w:r>
      <w:r>
        <w:rPr>
          <w:rFonts w:ascii="Calibri" w:hAnsi="Calibri" w:cs="Calibri"/>
        </w:rPr>
        <w:t xml:space="preserve">. </w:t>
      </w:r>
      <w:r>
        <w:rPr>
          <w:rFonts w:ascii="Calibri" w:hAnsi="Calibri" w:cs="Calibri"/>
        </w:rPr>
        <w:br/>
      </w:r>
      <w:r w:rsidR="00867646">
        <w:rPr>
          <w:rFonts w:ascii="Calibri" w:hAnsi="Calibri" w:cs="Calibri"/>
        </w:rPr>
        <w:t>A total of 87 published RCTs had a pre-trial document available, of those 33 (xx%) were published trials, 9 (xx%) were protocols included as supplementary material in the RCT, and 46 (xx%) registered records.</w:t>
      </w:r>
      <w:r w:rsidR="00E53D2C" w:rsidRPr="00E53D2C">
        <w:rPr>
          <w:rFonts w:ascii="Calibri" w:hAnsi="Calibri" w:cs="Calibri"/>
        </w:rPr>
        <w:t xml:space="preserve"> </w:t>
      </w:r>
      <w:r w:rsidR="00867646" w:rsidRPr="00E53D2C">
        <w:rPr>
          <w:rFonts w:ascii="Calibri" w:hAnsi="Calibri" w:cs="Calibri"/>
        </w:rPr>
        <w:t xml:space="preserve">. </w:t>
      </w:r>
      <w:r w:rsidR="00867646">
        <w:rPr>
          <w:rFonts w:ascii="Calibri" w:hAnsi="Calibri" w:cs="Calibri"/>
        </w:rPr>
        <w:t>While t</w:t>
      </w:r>
      <w:r w:rsidR="00867646" w:rsidRPr="00E53D2C">
        <w:rPr>
          <w:rFonts w:ascii="Calibri" w:hAnsi="Calibri" w:cs="Calibri"/>
        </w:rPr>
        <w:t xml:space="preserve">he CCI® </w:t>
      </w:r>
      <w:r w:rsidR="00867646">
        <w:rPr>
          <w:rFonts w:ascii="Calibri" w:hAnsi="Calibri" w:cs="Calibri"/>
        </w:rPr>
        <w:t xml:space="preserve">was defined </w:t>
      </w:r>
      <w:r w:rsidR="00867646" w:rsidRPr="00E53D2C">
        <w:rPr>
          <w:rFonts w:ascii="Calibri" w:hAnsi="Calibri" w:cs="Calibri"/>
        </w:rPr>
        <w:t>as a primary endpoint in % (</w:t>
      </w:r>
      <w:r w:rsidR="00867646">
        <w:rPr>
          <w:rFonts w:ascii="Calibri" w:hAnsi="Calibri" w:cs="Calibri"/>
        </w:rPr>
        <w:t>n= 16</w:t>
      </w:r>
      <w:r w:rsidR="00867646" w:rsidRPr="00E53D2C">
        <w:rPr>
          <w:rFonts w:ascii="Calibri" w:hAnsi="Calibri" w:cs="Calibri"/>
        </w:rPr>
        <w:t xml:space="preserve">) </w:t>
      </w:r>
      <w:r w:rsidR="00867646">
        <w:rPr>
          <w:rFonts w:ascii="Calibri" w:hAnsi="Calibri" w:cs="Calibri"/>
        </w:rPr>
        <w:t>of published RCTs</w:t>
      </w:r>
      <w:r w:rsidR="00867646" w:rsidRPr="00E53D2C">
        <w:rPr>
          <w:rFonts w:ascii="Calibri" w:hAnsi="Calibri" w:cs="Calibri"/>
        </w:rPr>
        <w:t xml:space="preserve"> and as a non-primary endpoint in</w:t>
      </w:r>
      <w:r w:rsidR="00867646">
        <w:rPr>
          <w:rFonts w:ascii="Calibri" w:hAnsi="Calibri" w:cs="Calibri"/>
        </w:rPr>
        <w:t xml:space="preserve"> </w:t>
      </w:r>
      <w:r w:rsidR="00867646" w:rsidRPr="007505FC">
        <w:rPr>
          <w:rFonts w:ascii="Calibri" w:hAnsi="Calibri" w:cs="Calibri"/>
        </w:rPr>
        <w:t>% (</w:t>
      </w:r>
      <w:r w:rsidR="00867646">
        <w:rPr>
          <w:rFonts w:ascii="Calibri" w:hAnsi="Calibri" w:cs="Calibri"/>
        </w:rPr>
        <w:t>n=71</w:t>
      </w:r>
      <w:r w:rsidR="00867646" w:rsidRPr="007505FC">
        <w:rPr>
          <w:rFonts w:ascii="Calibri" w:hAnsi="Calibri" w:cs="Calibri"/>
        </w:rPr>
        <w:t>)</w:t>
      </w:r>
      <w:r w:rsidR="00867646">
        <w:rPr>
          <w:rFonts w:ascii="Calibri" w:hAnsi="Calibri" w:cs="Calibri"/>
        </w:rPr>
        <w:t>, i</w:t>
      </w:r>
      <w:r w:rsidR="00867646" w:rsidRPr="00E53D2C">
        <w:rPr>
          <w:rFonts w:ascii="Calibri" w:hAnsi="Calibri" w:cs="Calibri"/>
        </w:rPr>
        <w:t xml:space="preserve">n </w:t>
      </w:r>
      <w:r w:rsidR="00867646">
        <w:rPr>
          <w:rFonts w:ascii="Calibri" w:hAnsi="Calibri" w:cs="Calibri"/>
        </w:rPr>
        <w:t>the</w:t>
      </w:r>
      <w:r w:rsidR="00867646">
        <w:rPr>
          <w:rFonts w:ascii="Calibri" w:hAnsi="Calibri" w:cs="Calibri"/>
        </w:rPr>
        <w:t xml:space="preserve"> respective pre-trial documentations,</w:t>
      </w:r>
      <w:r w:rsidR="00867646" w:rsidRPr="00E53D2C" w:rsidDel="007505FC">
        <w:rPr>
          <w:rFonts w:ascii="Calibri" w:hAnsi="Calibri" w:cs="Calibri"/>
        </w:rPr>
        <w:t xml:space="preserve"> </w:t>
      </w:r>
      <w:r w:rsidR="00867646">
        <w:rPr>
          <w:rFonts w:ascii="Calibri" w:hAnsi="Calibri" w:cs="Calibri"/>
        </w:rPr>
        <w:t>only represented</w:t>
      </w:r>
      <w:r w:rsidR="00867646" w:rsidRPr="00E53D2C">
        <w:rPr>
          <w:rFonts w:ascii="Calibri" w:hAnsi="Calibri" w:cs="Calibri"/>
        </w:rPr>
        <w:t xml:space="preserve"> </w:t>
      </w:r>
      <w:r w:rsidR="00867646" w:rsidRPr="003B6F08">
        <w:rPr>
          <w:rFonts w:ascii="Calibri" w:hAnsi="Calibri" w:cs="Calibri"/>
        </w:rPr>
        <w:t>% (</w:t>
      </w:r>
      <w:r w:rsidR="00867646">
        <w:rPr>
          <w:rFonts w:ascii="Calibri" w:hAnsi="Calibri" w:cs="Calibri"/>
        </w:rPr>
        <w:t>n=14</w:t>
      </w:r>
      <w:r w:rsidR="00867646" w:rsidRPr="003B6F08">
        <w:rPr>
          <w:rFonts w:ascii="Calibri" w:hAnsi="Calibri" w:cs="Calibri"/>
        </w:rPr>
        <w:t>)</w:t>
      </w:r>
      <w:r w:rsidR="00867646">
        <w:rPr>
          <w:rFonts w:ascii="Calibri" w:hAnsi="Calibri" w:cs="Calibri"/>
        </w:rPr>
        <w:t xml:space="preserve"> </w:t>
      </w:r>
      <w:r w:rsidR="00867646">
        <w:rPr>
          <w:rFonts w:ascii="Calibri" w:hAnsi="Calibri" w:cs="Calibri"/>
        </w:rPr>
        <w:t>trails planned to use the CCI as primary endpoint, % (n=24) as secondary endpoint.</w:t>
      </w:r>
    </w:p>
    <w:p w14:paraId="1A87152E" w14:textId="77777777" w:rsidR="00867646" w:rsidRDefault="00E53D2C" w:rsidP="00E53D2C">
      <w:pPr>
        <w:spacing w:line="480" w:lineRule="auto"/>
        <w:rPr>
          <w:rFonts w:ascii="Calibri" w:hAnsi="Calibri" w:cs="Calibri"/>
        </w:rPr>
      </w:pPr>
      <w:r w:rsidRPr="00E53D2C">
        <w:rPr>
          <w:rFonts w:ascii="Calibri" w:hAnsi="Calibri" w:cs="Calibri"/>
        </w:rPr>
        <w:t xml:space="preserve">Overall concordance between protocols and publications </w:t>
      </w:r>
      <w:r w:rsidR="00867646">
        <w:rPr>
          <w:rFonts w:ascii="Calibri" w:hAnsi="Calibri" w:cs="Calibri"/>
        </w:rPr>
        <w:t xml:space="preserve">is shown in </w:t>
      </w:r>
      <w:r w:rsidR="00867646" w:rsidRPr="00867646">
        <w:rPr>
          <w:rFonts w:ascii="Calibri" w:hAnsi="Calibri" w:cs="Calibri"/>
          <w:b/>
          <w:bCs/>
        </w:rPr>
        <w:t>Table 1</w:t>
      </w:r>
      <w:r w:rsidRPr="00E53D2C">
        <w:rPr>
          <w:rFonts w:ascii="Calibri" w:hAnsi="Calibri" w:cs="Calibri"/>
        </w:rPr>
        <w:t xml:space="preserve">. </w:t>
      </w:r>
    </w:p>
    <w:p w14:paraId="129DA043" w14:textId="77777777" w:rsidR="00867646" w:rsidRDefault="00867646" w:rsidP="00E53D2C">
      <w:pPr>
        <w:spacing w:line="480" w:lineRule="auto"/>
        <w:rPr>
          <w:rFonts w:ascii="Calibri" w:hAnsi="Calibri" w:cs="Calibri"/>
        </w:rPr>
      </w:pPr>
    </w:p>
    <w:p w14:paraId="4A0504D3" w14:textId="4B443477" w:rsidR="00E53D2C" w:rsidRPr="00E53D2C" w:rsidRDefault="00E53D2C" w:rsidP="00E53D2C">
      <w:pPr>
        <w:spacing w:line="480" w:lineRule="auto"/>
        <w:rPr>
          <w:rFonts w:ascii="Calibri" w:hAnsi="Calibri" w:cs="Calibri"/>
        </w:rPr>
      </w:pPr>
      <w:r w:rsidRPr="00E53D2C">
        <w:rPr>
          <w:rFonts w:ascii="Calibri" w:hAnsi="Calibri" w:cs="Calibri"/>
        </w:rPr>
        <w:t>Among studies using the CCI® as a primary endpoint, statistically significant differences between groups were infrequent, and only a small proportion demonstrated differences ≥12 points. Sample size calculations based on the CCI® were reported in 19.2% of protocols and 32.5% of publications.</w:t>
      </w:r>
    </w:p>
    <w:p w14:paraId="3D9700E0" w14:textId="77777777" w:rsidR="00E53D2C" w:rsidRPr="00E53D2C" w:rsidRDefault="00E53D2C" w:rsidP="00E53D2C">
      <w:pPr>
        <w:spacing w:line="480" w:lineRule="auto"/>
        <w:rPr>
          <w:rFonts w:ascii="Calibri" w:hAnsi="Calibri" w:cs="Calibri"/>
        </w:rPr>
      </w:pPr>
    </w:p>
    <w:p w14:paraId="650957BB" w14:textId="77777777" w:rsidR="00E53D2C" w:rsidRPr="009870EB" w:rsidRDefault="00E53D2C" w:rsidP="00E53D2C">
      <w:pPr>
        <w:spacing w:line="480" w:lineRule="auto"/>
        <w:rPr>
          <w:rFonts w:ascii="Calibri" w:hAnsi="Calibri" w:cs="Calibri"/>
          <w:b/>
          <w:bCs/>
        </w:rPr>
      </w:pPr>
      <w:r w:rsidRPr="009870EB">
        <w:rPr>
          <w:rFonts w:ascii="Calibri" w:hAnsi="Calibri" w:cs="Calibri"/>
          <w:b/>
          <w:bCs/>
        </w:rPr>
        <w:t>Discussion</w:t>
      </w:r>
    </w:p>
    <w:p w14:paraId="2FE6CA7C" w14:textId="77777777" w:rsidR="00E53D2C" w:rsidRPr="00E53D2C" w:rsidRDefault="00E53D2C" w:rsidP="00E53D2C">
      <w:pPr>
        <w:spacing w:line="480" w:lineRule="auto"/>
        <w:rPr>
          <w:rFonts w:ascii="Calibri" w:hAnsi="Calibri" w:cs="Calibri"/>
        </w:rPr>
      </w:pPr>
      <w:r w:rsidRPr="00E53D2C">
        <w:rPr>
          <w:rFonts w:ascii="Calibri" w:hAnsi="Calibri" w:cs="Calibri"/>
        </w:rPr>
        <w:t>The use and reporting of the CCI® in surgical RCTs show notable inconsistencies between registered protocols and final publications. Furthermore, most trials failed to reach clinically meaningful differences despite statistical significance, questioning the interpretability of reported outcomes.</w:t>
      </w:r>
    </w:p>
    <w:p w14:paraId="43F2D6F5" w14:textId="77777777" w:rsidR="00E53D2C" w:rsidRPr="00E53D2C" w:rsidRDefault="00E53D2C" w:rsidP="00E53D2C">
      <w:pPr>
        <w:spacing w:line="480" w:lineRule="auto"/>
        <w:rPr>
          <w:rFonts w:ascii="Calibri" w:hAnsi="Calibri" w:cs="Calibri"/>
        </w:rPr>
      </w:pPr>
    </w:p>
    <w:p w14:paraId="562D3BA9" w14:textId="77777777" w:rsidR="00E53D2C" w:rsidRPr="00E53D2C" w:rsidRDefault="00E53D2C" w:rsidP="00E53D2C">
      <w:pPr>
        <w:spacing w:line="480" w:lineRule="auto"/>
        <w:rPr>
          <w:rFonts w:ascii="Calibri" w:hAnsi="Calibri" w:cs="Calibri"/>
        </w:rPr>
      </w:pPr>
      <w:r w:rsidRPr="00E53D2C">
        <w:rPr>
          <w:rFonts w:ascii="Calibri" w:hAnsi="Calibri" w:cs="Calibri"/>
        </w:rPr>
        <w:lastRenderedPageBreak/>
        <w:t>Conclusion</w:t>
      </w:r>
    </w:p>
    <w:p w14:paraId="2056A740" w14:textId="77777777" w:rsidR="00E53D2C" w:rsidRPr="00E53D2C" w:rsidRDefault="00E53D2C" w:rsidP="00E53D2C">
      <w:pPr>
        <w:spacing w:line="480" w:lineRule="auto"/>
        <w:rPr>
          <w:rFonts w:ascii="Calibri" w:hAnsi="Calibri" w:cs="Calibri"/>
        </w:rPr>
      </w:pPr>
    </w:p>
    <w:p w14:paraId="45012E03" w14:textId="375B0875" w:rsidR="00E53D2C" w:rsidRPr="00E53D2C" w:rsidRDefault="00E53D2C" w:rsidP="00E53D2C">
      <w:pPr>
        <w:spacing w:line="480" w:lineRule="auto"/>
        <w:rPr>
          <w:rFonts w:ascii="Calibri" w:hAnsi="Calibri" w:cs="Calibri"/>
        </w:rPr>
      </w:pPr>
      <w:r w:rsidRPr="00E53D2C">
        <w:rPr>
          <w:rFonts w:ascii="Calibri" w:hAnsi="Calibri" w:cs="Calibri"/>
        </w:rPr>
        <w:t>The CCI® is increasingly used in surgical RCTs, yet inconsistencies in endpoint declaration and a lack of clinically relevant differences highlight the need for methodological rigor and transparent reporting in complication-related outcomes.</w:t>
      </w:r>
    </w:p>
    <w:sectPr w:rsidR="00E53D2C" w:rsidRPr="00E53D2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C"/>
    <w:rsid w:val="00030067"/>
    <w:rsid w:val="0003527F"/>
    <w:rsid w:val="0006139C"/>
    <w:rsid w:val="00070B1D"/>
    <w:rsid w:val="00090360"/>
    <w:rsid w:val="000953A6"/>
    <w:rsid w:val="00097855"/>
    <w:rsid w:val="000D321A"/>
    <w:rsid w:val="000E21D2"/>
    <w:rsid w:val="000E240F"/>
    <w:rsid w:val="000F66FA"/>
    <w:rsid w:val="00120B60"/>
    <w:rsid w:val="0015142E"/>
    <w:rsid w:val="00167844"/>
    <w:rsid w:val="0018618F"/>
    <w:rsid w:val="001D6A53"/>
    <w:rsid w:val="001E6CD4"/>
    <w:rsid w:val="001F68EF"/>
    <w:rsid w:val="002239BB"/>
    <w:rsid w:val="00226B94"/>
    <w:rsid w:val="00270439"/>
    <w:rsid w:val="00284156"/>
    <w:rsid w:val="002A0DDB"/>
    <w:rsid w:val="002A25DF"/>
    <w:rsid w:val="002B3B49"/>
    <w:rsid w:val="002C1064"/>
    <w:rsid w:val="00301AE3"/>
    <w:rsid w:val="00314AC0"/>
    <w:rsid w:val="0037403F"/>
    <w:rsid w:val="00385B81"/>
    <w:rsid w:val="00395FC8"/>
    <w:rsid w:val="003A242F"/>
    <w:rsid w:val="003B7943"/>
    <w:rsid w:val="003D6348"/>
    <w:rsid w:val="004062C0"/>
    <w:rsid w:val="00416E69"/>
    <w:rsid w:val="00485EE9"/>
    <w:rsid w:val="004E6BC9"/>
    <w:rsid w:val="00510C46"/>
    <w:rsid w:val="0053120D"/>
    <w:rsid w:val="00535A24"/>
    <w:rsid w:val="00545285"/>
    <w:rsid w:val="0056396C"/>
    <w:rsid w:val="00566C89"/>
    <w:rsid w:val="00581168"/>
    <w:rsid w:val="005A29E4"/>
    <w:rsid w:val="005A3D11"/>
    <w:rsid w:val="005B1523"/>
    <w:rsid w:val="005D0BCD"/>
    <w:rsid w:val="005E0239"/>
    <w:rsid w:val="005E7A84"/>
    <w:rsid w:val="006026BD"/>
    <w:rsid w:val="0060635A"/>
    <w:rsid w:val="00623FCB"/>
    <w:rsid w:val="00630581"/>
    <w:rsid w:val="00650DB0"/>
    <w:rsid w:val="00665F21"/>
    <w:rsid w:val="00672165"/>
    <w:rsid w:val="00677150"/>
    <w:rsid w:val="006778E6"/>
    <w:rsid w:val="006947EA"/>
    <w:rsid w:val="006B491A"/>
    <w:rsid w:val="006C09EE"/>
    <w:rsid w:val="00703310"/>
    <w:rsid w:val="00715474"/>
    <w:rsid w:val="0071640D"/>
    <w:rsid w:val="007218EB"/>
    <w:rsid w:val="00734E55"/>
    <w:rsid w:val="00746DE9"/>
    <w:rsid w:val="00762C11"/>
    <w:rsid w:val="00797FBB"/>
    <w:rsid w:val="007D42E0"/>
    <w:rsid w:val="007D6959"/>
    <w:rsid w:val="008026AA"/>
    <w:rsid w:val="008455AE"/>
    <w:rsid w:val="00867646"/>
    <w:rsid w:val="0088584E"/>
    <w:rsid w:val="008A32FE"/>
    <w:rsid w:val="008C4E41"/>
    <w:rsid w:val="008E65FE"/>
    <w:rsid w:val="00904B93"/>
    <w:rsid w:val="00921A89"/>
    <w:rsid w:val="009350A3"/>
    <w:rsid w:val="00942466"/>
    <w:rsid w:val="009870EB"/>
    <w:rsid w:val="009F4126"/>
    <w:rsid w:val="00A047B3"/>
    <w:rsid w:val="00A17F3A"/>
    <w:rsid w:val="00A21BAC"/>
    <w:rsid w:val="00A21DC6"/>
    <w:rsid w:val="00A43CAB"/>
    <w:rsid w:val="00AB5731"/>
    <w:rsid w:val="00AD333C"/>
    <w:rsid w:val="00AD5EA4"/>
    <w:rsid w:val="00AD782E"/>
    <w:rsid w:val="00AF0D29"/>
    <w:rsid w:val="00B0759F"/>
    <w:rsid w:val="00B35645"/>
    <w:rsid w:val="00B4520F"/>
    <w:rsid w:val="00B5111A"/>
    <w:rsid w:val="00B62F21"/>
    <w:rsid w:val="00B7010B"/>
    <w:rsid w:val="00B81A9A"/>
    <w:rsid w:val="00B8768C"/>
    <w:rsid w:val="00B9628A"/>
    <w:rsid w:val="00BD6375"/>
    <w:rsid w:val="00CD555F"/>
    <w:rsid w:val="00CD6EDC"/>
    <w:rsid w:val="00CD7C3E"/>
    <w:rsid w:val="00D14F2C"/>
    <w:rsid w:val="00D25F73"/>
    <w:rsid w:val="00D331D0"/>
    <w:rsid w:val="00D66E39"/>
    <w:rsid w:val="00D82151"/>
    <w:rsid w:val="00DD1D21"/>
    <w:rsid w:val="00E0311A"/>
    <w:rsid w:val="00E3182D"/>
    <w:rsid w:val="00E529A4"/>
    <w:rsid w:val="00E53D2C"/>
    <w:rsid w:val="00E702BE"/>
    <w:rsid w:val="00E82283"/>
    <w:rsid w:val="00EA071D"/>
    <w:rsid w:val="00EA48F6"/>
    <w:rsid w:val="00EC6227"/>
    <w:rsid w:val="00F02BC4"/>
    <w:rsid w:val="00F35634"/>
    <w:rsid w:val="00FB1C60"/>
    <w:rsid w:val="00FB65C1"/>
    <w:rsid w:val="00FC7739"/>
    <w:rsid w:val="00FD45E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4786"/>
  <w15:chartTrackingRefBased/>
  <w15:docId w15:val="{4AC88F6A-9253-1446-BB24-42B96B9E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E5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5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53D2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53D2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53D2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53D2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53D2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53D2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53D2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53D2C"/>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E53D2C"/>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semiHidden/>
    <w:rsid w:val="00E53D2C"/>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E53D2C"/>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E53D2C"/>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E53D2C"/>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E53D2C"/>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E53D2C"/>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E53D2C"/>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E53D2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53D2C"/>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E53D2C"/>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53D2C"/>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E53D2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53D2C"/>
    <w:rPr>
      <w:i/>
      <w:iCs/>
      <w:color w:val="404040" w:themeColor="text1" w:themeTint="BF"/>
      <w:lang w:val="en-US"/>
    </w:rPr>
  </w:style>
  <w:style w:type="paragraph" w:styleId="Listenabsatz">
    <w:name w:val="List Paragraph"/>
    <w:basedOn w:val="Standard"/>
    <w:uiPriority w:val="34"/>
    <w:qFormat/>
    <w:rsid w:val="00E53D2C"/>
    <w:pPr>
      <w:ind w:left="720"/>
      <w:contextualSpacing/>
    </w:pPr>
  </w:style>
  <w:style w:type="character" w:styleId="IntensiveHervorhebung">
    <w:name w:val="Intense Emphasis"/>
    <w:basedOn w:val="Absatz-Standardschriftart"/>
    <w:uiPriority w:val="21"/>
    <w:qFormat/>
    <w:rsid w:val="00E53D2C"/>
    <w:rPr>
      <w:i/>
      <w:iCs/>
      <w:color w:val="0F4761" w:themeColor="accent1" w:themeShade="BF"/>
    </w:rPr>
  </w:style>
  <w:style w:type="paragraph" w:styleId="IntensivesZitat">
    <w:name w:val="Intense Quote"/>
    <w:basedOn w:val="Standard"/>
    <w:next w:val="Standard"/>
    <w:link w:val="IntensivesZitatZchn"/>
    <w:uiPriority w:val="30"/>
    <w:qFormat/>
    <w:rsid w:val="00E5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53D2C"/>
    <w:rPr>
      <w:i/>
      <w:iCs/>
      <w:color w:val="0F4761" w:themeColor="accent1" w:themeShade="BF"/>
      <w:lang w:val="en-US"/>
    </w:rPr>
  </w:style>
  <w:style w:type="character" w:styleId="IntensiverVerweis">
    <w:name w:val="Intense Reference"/>
    <w:basedOn w:val="Absatz-Standardschriftart"/>
    <w:uiPriority w:val="32"/>
    <w:qFormat/>
    <w:rsid w:val="00E53D2C"/>
    <w:rPr>
      <w:b/>
      <w:bCs/>
      <w:smallCaps/>
      <w:color w:val="0F4761" w:themeColor="accent1" w:themeShade="BF"/>
      <w:spacing w:val="5"/>
    </w:rPr>
  </w:style>
  <w:style w:type="character" w:styleId="Fett">
    <w:name w:val="Strong"/>
    <w:basedOn w:val="Absatz-Standardschriftart"/>
    <w:uiPriority w:val="22"/>
    <w:qFormat/>
    <w:rsid w:val="00E53D2C"/>
    <w:rPr>
      <w:b/>
      <w:bCs/>
    </w:rPr>
  </w:style>
  <w:style w:type="paragraph" w:customStyle="1" w:styleId="Lehmannheading2">
    <w:name w:val="Lehmann heading 2"/>
    <w:basedOn w:val="Standard"/>
    <w:uiPriority w:val="99"/>
    <w:qFormat/>
    <w:rsid w:val="00E53D2C"/>
    <w:pPr>
      <w:spacing w:before="600" w:after="120" w:line="480" w:lineRule="auto"/>
      <w:ind w:firstLine="567"/>
      <w:jc w:val="both"/>
    </w:pPr>
    <w:rPr>
      <w:rFonts w:ascii="Arial" w:eastAsia="Times New Roman" w:hAnsi="Arial" w:cs="Times New Roman"/>
      <w:b/>
      <w:kern w:val="0"/>
      <w:sz w:val="22"/>
      <w:szCs w:val="22"/>
      <w14:ligatures w14:val="none"/>
    </w:rPr>
  </w:style>
  <w:style w:type="character" w:styleId="Hyperlink">
    <w:name w:val="Hyperlink"/>
    <w:basedOn w:val="Absatz-Standardschriftart"/>
    <w:uiPriority w:val="99"/>
    <w:unhideWhenUsed/>
    <w:rsid w:val="00E53D2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clavien@access.uzh.ch" TargetMode="Externa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599</Words>
  <Characters>3779</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fariba abbassi</cp:lastModifiedBy>
  <cp:revision>2</cp:revision>
  <dcterms:created xsi:type="dcterms:W3CDTF">2025-10-08T09:24:00Z</dcterms:created>
  <dcterms:modified xsi:type="dcterms:W3CDTF">2025-10-12T21:44:00Z</dcterms:modified>
</cp:coreProperties>
</file>