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CC050B1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The </w:t>
      </w:r>
      <w:r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Pr="000F2CF8">
        <w:rPr>
          <w:rFonts w:ascii="Calibri" w:hAnsi="Calibri" w:cs="Calibri"/>
          <w:b/>
          <w:bCs/>
          <w:sz w:val="28"/>
          <w:szCs w:val="28"/>
        </w:rPr>
        <w:t>®</w:t>
      </w:r>
      <w:r>
        <w:rPr>
          <w:rFonts w:ascii="Calibri" w:hAnsi="Calibri" w:cs="Calibri"/>
          <w:b/>
          <w:bCs/>
          <w:sz w:val="28"/>
          <w:szCs w:val="28"/>
        </w:rPr>
        <w:t>)</w:t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  <w:r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Protocols and Publications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48E45457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proofErr w:type="spellStart"/>
      <w:r w:rsidR="00FF7C37">
        <w:rPr>
          <w:rFonts w:ascii="Calibri" w:hAnsi="Calibri" w:cs="Calibri"/>
          <w:i/>
          <w:iCs/>
          <w:color w:val="201F1E"/>
        </w:rPr>
        <w:t>Hirschengraben</w:t>
      </w:r>
      <w:proofErr w:type="spellEnd"/>
      <w:r w:rsidR="00FF7C37">
        <w:rPr>
          <w:rFonts w:ascii="Calibri" w:hAnsi="Calibri" w:cs="Calibri"/>
          <w:i/>
          <w:iCs/>
          <w:color w:val="201F1E"/>
        </w:rPr>
        <w:t xml:space="preserve"> 84</w:t>
      </w:r>
    </w:p>
    <w:p w14:paraId="1F19BE8F" w14:textId="57FC529E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80</w:t>
      </w:r>
      <w:r w:rsidR="00FF7C37">
        <w:rPr>
          <w:rFonts w:ascii="Calibri" w:hAnsi="Calibri" w:cs="Calibri"/>
          <w:i/>
          <w:iCs/>
          <w:color w:val="201F1E"/>
        </w:rPr>
        <w:t>01</w:t>
      </w:r>
      <w:r w:rsidRPr="00E53D2C">
        <w:rPr>
          <w:rFonts w:ascii="Calibri" w:hAnsi="Calibri" w:cs="Calibri"/>
          <w:i/>
          <w:iCs/>
          <w:color w:val="201F1E"/>
        </w:rPr>
        <w:t xml:space="preserve"> Zurich, Switzerland</w:t>
      </w:r>
    </w:p>
    <w:p w14:paraId="39B044DF" w14:textId="05FA5E0E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</w:rPr>
      </w:pPr>
      <w:r w:rsidRPr="00E53D2C">
        <w:rPr>
          <w:rFonts w:ascii="Calibri" w:hAnsi="Calibri" w:cs="Calibri"/>
          <w:i/>
          <w:iCs/>
          <w:color w:val="201F1E"/>
        </w:rPr>
        <w:tab/>
        <w:t>Email:</w:t>
      </w:r>
      <w:r w:rsidRPr="00E53D2C">
        <w:rPr>
          <w:rFonts w:ascii="Calibri" w:hAnsi="Calibri" w:cs="Calibri"/>
          <w:i/>
          <w:iCs/>
          <w:color w:val="201F1E"/>
          <w:bdr w:val="none" w:sz="0" w:space="0" w:color="auto" w:frame="1"/>
        </w:rPr>
        <w:t> </w:t>
      </w:r>
      <w:r w:rsidR="00FF7C37">
        <w:rPr>
          <w:rStyle w:val="Hyperlink"/>
          <w:rFonts w:ascii="Calibri" w:hAnsi="Calibri" w:cs="Calibri"/>
          <w:i/>
          <w:iCs/>
          <w:bdr w:val="none" w:sz="0" w:space="0" w:color="auto" w:frame="1"/>
        </w:rPr>
        <w:t>miloalan.puhan@uzh.ch</w:t>
      </w:r>
    </w:p>
    <w:p w14:paraId="3FA2FD40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54718507" w14:textId="4F75DB77" w:rsidR="00E53D2C" w:rsidRDefault="00E53D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ED4F2D" w14:textId="30FC1ED5" w:rsidR="00FF7C37" w:rsidRPr="00C04E8F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lastRenderedPageBreak/>
        <w:t>Abstract</w:t>
      </w:r>
    </w:p>
    <w:p w14:paraId="627F7640" w14:textId="77777777" w:rsidR="00C04E8F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77777777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>The Comprehensive Complication Index (CCI®) offers a continuous, weighted assessment of all postoperative complications, providing a more refined quantification of surgical morbidity than traditional categorical systems. As such, the CCI® has become a cornerstone metric for evaluating surgical outcomes in randomized controlled trials (RCTs).</w:t>
      </w:r>
      <w:r w:rsidR="000F2CF8" w:rsidRPr="000F2CF8">
        <w:t xml:space="preserve"> </w:t>
      </w:r>
      <w:r w:rsidR="000F2CF8" w:rsidRPr="00C04E8F">
        <w:rPr>
          <w:rFonts w:ascii="Calibri" w:hAnsi="Calibri" w:cs="Calibri"/>
        </w:rPr>
        <w:t xml:space="preserve">Importantly, a </w:t>
      </w:r>
      <w:r w:rsidR="000F2CF8" w:rsidRPr="00C04E8F">
        <w:rPr>
          <w:rStyle w:val="Fett"/>
          <w:rFonts w:ascii="Calibri" w:hAnsi="Calibri" w:cs="Calibri"/>
          <w:b w:val="0"/>
          <w:bCs w:val="0"/>
        </w:rPr>
        <w:t>minimal important difference (MID) of 12 CCI® points</w:t>
      </w:r>
      <w:r w:rsidR="000F2CF8" w:rsidRPr="00C04E8F">
        <w:rPr>
          <w:rFonts w:ascii="Calibri" w:hAnsi="Calibri" w:cs="Calibri"/>
        </w:rPr>
        <w:t xml:space="preserve"> has been proposed to indicate clinically meaningful change.</w:t>
      </w:r>
    </w:p>
    <w:p w14:paraId="163C75DC" w14:textId="08C90C78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quality in surgery depends not only on patient outcomes but also on the methodological rigor with which these outcomes are generated and reported. Although the use of the CCI® in RCTs is increasing, it remains unclear how consistently it is applied and whether its declaration in registered protocols aligns with the corresponding publications. </w:t>
      </w:r>
    </w:p>
    <w:p w14:paraId="4BE0988A" w14:textId="291886C0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This study aimed to systematically evaluate the use of the CCI® in surgical RCTs, to assess protocol–publication concordance as a marker of research quality, and to determine whether observed between-group differences reflecting clinical relevance.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63766DE3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Through a systematic literature search in Scopus (August 2023, updated July 2025) we identified all randomized controlled trials (RCTs) using the CCI® as an endpoint. Extracted data included the designation of the CCI® (primary, secondary, or exploratory endpoint), trial framework (superiority, non-inferiority, or equivalence), and whether sample size calculations were based on the CCI®. The same parameters were evaluated in the corresponding pre-trial documentation to assess concordance and identify discrepancies </w:t>
      </w:r>
      <w:r w:rsidRPr="00C04E8F">
        <w:rPr>
          <w:rFonts w:ascii="Calibri" w:hAnsi="Calibri" w:cs="Calibri"/>
        </w:rPr>
        <w:lastRenderedPageBreak/>
        <w:t xml:space="preserve">between </w:t>
      </w:r>
      <w:r w:rsidRPr="00C04E8F">
        <w:rPr>
          <w:rStyle w:val="Fett"/>
          <w:rFonts w:ascii="Calibri" w:hAnsi="Calibri" w:cs="Calibri"/>
          <w:b w:val="0"/>
          <w:bCs w:val="0"/>
        </w:rPr>
        <w:t>planification and publication of results</w:t>
      </w:r>
      <w:r w:rsidRPr="00C04E8F">
        <w:rPr>
          <w:rFonts w:ascii="Calibri" w:hAnsi="Calibri" w:cs="Calibri"/>
        </w:rPr>
        <w:t>. For RCTs defining the CCI® as the primary endpoint, we assessed statistical significance, the magnitude of between-group differences,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Of 1612 records citing the CCI® up to July 2025, 13</w:t>
      </w:r>
      <w:r w:rsidR="00FF7C37" w:rsidRPr="004D2539">
        <w:rPr>
          <w:rFonts w:ascii="Calibri" w:hAnsi="Calibri" w:cs="Calibri"/>
        </w:rPr>
        <w:t>6</w:t>
      </w:r>
      <w:r w:rsidRPr="00C04E8F">
        <w:rPr>
          <w:rFonts w:ascii="Calibri" w:hAnsi="Calibri" w:cs="Calibri"/>
        </w:rPr>
        <w:t xml:space="preserve"> RCTs were eligible for inclusion, comprising </w:t>
      </w:r>
      <w:r w:rsidR="00FF7C37" w:rsidRPr="004D2539">
        <w:rPr>
          <w:rFonts w:ascii="Calibri" w:hAnsi="Calibri" w:cs="Calibri"/>
        </w:rPr>
        <w:t>87</w:t>
      </w:r>
      <w:r w:rsidRPr="00C04E8F">
        <w:rPr>
          <w:rFonts w:ascii="Calibri" w:hAnsi="Calibri" w:cs="Calibri"/>
        </w:rPr>
        <w:t xml:space="preserve"> published and 49 ongoing trials </w:t>
      </w:r>
      <w:r w:rsidR="00867646" w:rsidRPr="00C04E8F">
        <w:rPr>
          <w:rFonts w:ascii="Calibri" w:hAnsi="Calibri" w:cs="Calibri"/>
        </w:rPr>
        <w:t>(</w:t>
      </w:r>
      <w:r w:rsidR="00867646" w:rsidRPr="00C04E8F">
        <w:rPr>
          <w:rFonts w:ascii="Calibri" w:hAnsi="Calibri" w:cs="Calibri"/>
          <w:b/>
          <w:bCs/>
        </w:rPr>
        <w:t>Figure 1</w:t>
      </w:r>
      <w:r w:rsidR="00867646" w:rsidRPr="00C04E8F">
        <w:rPr>
          <w:rFonts w:ascii="Calibri" w:hAnsi="Calibri" w:cs="Calibri"/>
        </w:rPr>
        <w:t>)</w:t>
      </w:r>
      <w:r w:rsidR="0018618F" w:rsidRPr="00C04E8F">
        <w:rPr>
          <w:rFonts w:ascii="Calibri" w:hAnsi="Calibri" w:cs="Calibri"/>
        </w:rPr>
        <w:t xml:space="preserve">. </w:t>
      </w:r>
      <w:r w:rsidRPr="00C04E8F">
        <w:rPr>
          <w:rFonts w:ascii="Calibri" w:hAnsi="Calibri" w:cs="Calibri"/>
        </w:rPr>
        <w:t xml:space="preserve">The CCI® was defined as a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primary endpoint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34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25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secondary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10</w:t>
      </w:r>
      <w:r w:rsidR="00C04E8F">
        <w:rPr>
          <w:rStyle w:val="Fett"/>
          <w:rFonts w:ascii="Calibri" w:hAnsi="Calibri" w:cs="Calibri"/>
          <w:b w:val="0"/>
          <w:bCs w:val="0"/>
        </w:rPr>
        <w:t>0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7</w:t>
      </w:r>
      <w:r w:rsidR="00C04E8F">
        <w:rPr>
          <w:rStyle w:val="Fett"/>
          <w:rFonts w:ascii="Calibri" w:hAnsi="Calibri" w:cs="Calibri"/>
          <w:b w:val="0"/>
          <w:bCs w:val="0"/>
        </w:rPr>
        <w:t>4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and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exploratory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2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1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 trial</w:t>
      </w:r>
      <w:r w:rsidR="00FF7C37" w:rsidRPr="004D2539">
        <w:rPr>
          <w:rFonts w:ascii="Calibri" w:hAnsi="Calibri" w:cs="Calibri"/>
        </w:rPr>
        <w:t>s.</w:t>
      </w:r>
      <w:r w:rsidR="00FF7C37" w:rsidRPr="004D2539" w:rsidDel="00FF7C37">
        <w:rPr>
          <w:rFonts w:ascii="Calibri" w:hAnsi="Calibri" w:cs="Calibri"/>
        </w:rPr>
        <w:t xml:space="preserve"> </w:t>
      </w:r>
    </w:p>
    <w:p w14:paraId="1A87152E" w14:textId="61CDEDB8" w:rsidR="00867646" w:rsidRP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A pre-trial document was available for 8</w:t>
      </w:r>
      <w:r w:rsidR="00FF7C37" w:rsidRPr="004D2539">
        <w:rPr>
          <w:rFonts w:ascii="Calibri" w:hAnsi="Calibri" w:cs="Calibri"/>
        </w:rPr>
        <w:t>4 (98%)</w:t>
      </w:r>
      <w:r w:rsidRPr="00C04E8F">
        <w:rPr>
          <w:rFonts w:ascii="Calibri" w:hAnsi="Calibri" w:cs="Calibri"/>
        </w:rPr>
        <w:t xml:space="preserve"> published RCTs</w:t>
      </w:r>
      <w:r w:rsidR="00223769">
        <w:rPr>
          <w:rFonts w:ascii="Calibri" w:hAnsi="Calibri" w:cs="Calibri"/>
        </w:rPr>
        <w:t xml:space="preserve"> (</w:t>
      </w:r>
      <w:r w:rsidR="00223769" w:rsidRPr="00C04E8F">
        <w:rPr>
          <w:rFonts w:ascii="Calibri" w:hAnsi="Calibri" w:cs="Calibri"/>
          <w:b/>
          <w:bCs/>
        </w:rPr>
        <w:t>Table 1</w:t>
      </w:r>
      <w:r w:rsidR="00223769">
        <w:rPr>
          <w:rFonts w:ascii="Calibri" w:hAnsi="Calibri" w:cs="Calibri"/>
        </w:rPr>
        <w:t>)</w:t>
      </w:r>
      <w:r w:rsidRPr="00C04E8F">
        <w:rPr>
          <w:rFonts w:ascii="Calibri" w:hAnsi="Calibri" w:cs="Calibri"/>
        </w:rPr>
        <w:t>, including 3</w:t>
      </w:r>
      <w:r w:rsidR="00FF7C37" w:rsidRPr="004D2539">
        <w:rPr>
          <w:rFonts w:ascii="Calibri" w:hAnsi="Calibri" w:cs="Calibri"/>
        </w:rPr>
        <w:t>1</w:t>
      </w:r>
      <w:r w:rsidRPr="00C04E8F">
        <w:rPr>
          <w:rFonts w:ascii="Calibri" w:hAnsi="Calibri" w:cs="Calibri"/>
        </w:rPr>
        <w:t xml:space="preserve"> (3</w:t>
      </w:r>
      <w:r w:rsidR="00FF7C37" w:rsidRPr="004D2539">
        <w:rPr>
          <w:rFonts w:ascii="Calibri" w:hAnsi="Calibri" w:cs="Calibri"/>
        </w:rPr>
        <w:t>7</w:t>
      </w:r>
      <w:r w:rsidRPr="00C04E8F">
        <w:rPr>
          <w:rFonts w:ascii="Calibri" w:hAnsi="Calibri" w:cs="Calibri"/>
        </w:rPr>
        <w:t xml:space="preserve">%) published protocols, </w:t>
      </w:r>
      <w:r w:rsidR="00FF7C37" w:rsidRPr="004D2539">
        <w:rPr>
          <w:rFonts w:ascii="Calibri" w:hAnsi="Calibri" w:cs="Calibri"/>
        </w:rPr>
        <w:t>8</w:t>
      </w:r>
      <w:r w:rsidRPr="00C04E8F">
        <w:rPr>
          <w:rFonts w:ascii="Calibri" w:hAnsi="Calibri" w:cs="Calibri"/>
        </w:rPr>
        <w:t xml:space="preserve"> (10%) </w:t>
      </w:r>
      <w:r w:rsidR="00FF7C37" w:rsidRPr="004D2539">
        <w:rPr>
          <w:rFonts w:ascii="Calibri" w:hAnsi="Calibri" w:cs="Calibri"/>
        </w:rPr>
        <w:t xml:space="preserve">full-text </w:t>
      </w:r>
      <w:r w:rsidRPr="00C04E8F">
        <w:rPr>
          <w:rFonts w:ascii="Calibri" w:hAnsi="Calibri" w:cs="Calibri"/>
        </w:rPr>
        <w:t xml:space="preserve">protocols </w:t>
      </w:r>
      <w:r w:rsidR="004D2539" w:rsidRPr="004D2539">
        <w:rPr>
          <w:rFonts w:ascii="Calibri" w:hAnsi="Calibri" w:cs="Calibri"/>
        </w:rPr>
        <w:t>provided</w:t>
      </w:r>
      <w:r w:rsidR="004D2539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as supplementary material</w:t>
      </w:r>
      <w:r w:rsidR="00FF7C37" w:rsidRPr="004D2539">
        <w:rPr>
          <w:rFonts w:ascii="Calibri" w:hAnsi="Calibri" w:cs="Calibri"/>
        </w:rPr>
        <w:t xml:space="preserve"> in the results </w:t>
      </w:r>
      <w:r w:rsidR="004D2539" w:rsidRPr="004D2539">
        <w:rPr>
          <w:rFonts w:ascii="Calibri" w:hAnsi="Calibri" w:cs="Calibri"/>
        </w:rPr>
        <w:t>publication</w:t>
      </w:r>
      <w:r w:rsidRPr="00C04E8F">
        <w:rPr>
          <w:rFonts w:ascii="Calibri" w:hAnsi="Calibri" w:cs="Calibri"/>
        </w:rPr>
        <w:t>, and 4</w:t>
      </w:r>
      <w:r w:rsidR="00FF7C37" w:rsidRPr="004D2539">
        <w:rPr>
          <w:rFonts w:ascii="Calibri" w:hAnsi="Calibri" w:cs="Calibri"/>
        </w:rPr>
        <w:t>5</w:t>
      </w:r>
      <w:r w:rsidRPr="00C04E8F">
        <w:rPr>
          <w:rFonts w:ascii="Calibri" w:hAnsi="Calibri" w:cs="Calibri"/>
        </w:rPr>
        <w:t xml:space="preserve"> (5</w:t>
      </w:r>
      <w:r w:rsidR="00FF7C37" w:rsidRPr="004D2539">
        <w:rPr>
          <w:rFonts w:ascii="Calibri" w:hAnsi="Calibri" w:cs="Calibri"/>
        </w:rPr>
        <w:t>4</w:t>
      </w:r>
      <w:r w:rsidRPr="00C04E8F">
        <w:rPr>
          <w:rFonts w:ascii="Calibri" w:hAnsi="Calibri" w:cs="Calibri"/>
        </w:rPr>
        <w:t>%) registered records.</w:t>
      </w:r>
      <w:r w:rsidR="00867646" w:rsidRPr="00C04E8F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 xml:space="preserve">Among these trials, the CCI® was used as a </w:t>
      </w:r>
      <w:r w:rsidR="005F757C" w:rsidRPr="00C04E8F">
        <w:rPr>
          <w:rFonts w:ascii="Calibri" w:hAnsi="Calibri" w:cs="Calibri"/>
        </w:rPr>
        <w:t>primary endpoint in 14 (17%)</w:t>
      </w:r>
      <w:r w:rsidR="005F757C" w:rsidRPr="005F757C">
        <w:rPr>
          <w:rFonts w:ascii="Calibri" w:hAnsi="Calibri" w:cs="Calibri"/>
        </w:rPr>
        <w:t xml:space="preserve">, whereas this designation was </w:t>
      </w:r>
      <w:r w:rsidR="005F757C" w:rsidRPr="00C04E8F">
        <w:rPr>
          <w:rFonts w:ascii="Calibri" w:hAnsi="Calibri" w:cs="Calibri"/>
        </w:rPr>
        <w:t>pre-specified in only 12 corresponding pre-trial documents</w:t>
      </w:r>
      <w:r w:rsidR="005F757C" w:rsidRPr="005F757C">
        <w:rPr>
          <w:rFonts w:ascii="Calibri" w:hAnsi="Calibri" w:cs="Calibri"/>
        </w:rPr>
        <w:t>, indicating minor discrepancies between planification and publication</w:t>
      </w:r>
      <w:r w:rsidR="004760AC">
        <w:rPr>
          <w:rFonts w:ascii="Calibri" w:hAnsi="Calibri" w:cs="Calibri"/>
        </w:rPr>
        <w:t xml:space="preserve"> (</w:t>
      </w:r>
      <w:r w:rsidR="004760AC" w:rsidRPr="00C04E8F">
        <w:rPr>
          <w:rFonts w:ascii="Calibri" w:hAnsi="Calibri" w:cs="Calibri"/>
          <w:b/>
          <w:bCs/>
        </w:rPr>
        <w:t xml:space="preserve">Table </w:t>
      </w:r>
      <w:r w:rsidR="00223769">
        <w:rPr>
          <w:rFonts w:ascii="Calibri" w:hAnsi="Calibri" w:cs="Calibri"/>
          <w:b/>
          <w:bCs/>
        </w:rPr>
        <w:t>2</w:t>
      </w:r>
      <w:r w:rsidR="004760AC">
        <w:rPr>
          <w:rFonts w:ascii="Calibri" w:hAnsi="Calibri" w:cs="Calibri"/>
        </w:rPr>
        <w:t>)</w:t>
      </w:r>
      <w:r w:rsidR="005F757C" w:rsidRPr="005F757C">
        <w:rPr>
          <w:rFonts w:ascii="Calibri" w:hAnsi="Calibri" w:cs="Calibri"/>
        </w:rPr>
        <w:t>.</w:t>
      </w:r>
      <w:r w:rsidR="005F757C">
        <w:rPr>
          <w:rFonts w:ascii="Calibri" w:hAnsi="Calibri" w:cs="Calibri"/>
        </w:rPr>
        <w:t xml:space="preserve"> </w:t>
      </w:r>
      <w:r w:rsidR="00E53D2C" w:rsidRPr="00C04E8F">
        <w:rPr>
          <w:rFonts w:ascii="Calibri" w:hAnsi="Calibri" w:cs="Calibri"/>
        </w:rPr>
        <w:t xml:space="preserve">Overall </w:t>
      </w:r>
      <w:r w:rsidR="004D2539" w:rsidRPr="00C04E8F">
        <w:rPr>
          <w:rFonts w:ascii="Calibri" w:hAnsi="Calibri" w:cs="Calibri"/>
        </w:rPr>
        <w:t xml:space="preserve">protocol–publication </w:t>
      </w:r>
      <w:r w:rsidR="00E53D2C" w:rsidRPr="00C04E8F">
        <w:rPr>
          <w:rFonts w:ascii="Calibri" w:hAnsi="Calibri" w:cs="Calibri"/>
        </w:rPr>
        <w:t xml:space="preserve">concordance </w:t>
      </w:r>
      <w:r w:rsidRPr="00C04E8F">
        <w:rPr>
          <w:rFonts w:ascii="Calibri" w:hAnsi="Calibri" w:cs="Calibri"/>
        </w:rPr>
        <w:t xml:space="preserve">was </w:t>
      </w:r>
      <w:r w:rsidR="004D2539">
        <w:rPr>
          <w:rFonts w:ascii="Calibri" w:hAnsi="Calibri" w:cs="Calibri"/>
        </w:rPr>
        <w:t>high</w:t>
      </w:r>
      <w:r w:rsidR="00E53D2C" w:rsidRPr="00C04E8F">
        <w:rPr>
          <w:rFonts w:ascii="Calibri" w:hAnsi="Calibri" w:cs="Calibri"/>
        </w:rPr>
        <w:t xml:space="preserve">. </w:t>
      </w:r>
    </w:p>
    <w:p w14:paraId="4A0504D3" w14:textId="25953D22" w:rsidR="00E53D2C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C04E8F">
        <w:rPr>
          <w:rFonts w:ascii="Calibri" w:hAnsi="Calibri" w:cs="Calibri"/>
          <w:color w:val="000000" w:themeColor="text1"/>
        </w:rPr>
        <w:t xml:space="preserve">Among </w:t>
      </w:r>
      <w:r w:rsidR="005D2313" w:rsidRPr="00C04E8F">
        <w:rPr>
          <w:rFonts w:ascii="Calibri" w:hAnsi="Calibri" w:cs="Calibri"/>
          <w:color w:val="000000" w:themeColor="text1"/>
        </w:rPr>
        <w:t xml:space="preserve">the 14 </w:t>
      </w:r>
      <w:r w:rsidRPr="00C04E8F">
        <w:rPr>
          <w:rFonts w:ascii="Calibri" w:hAnsi="Calibri" w:cs="Calibri"/>
          <w:color w:val="000000" w:themeColor="text1"/>
        </w:rPr>
        <w:t xml:space="preserve">studies using the CCI® as a primary endpoint, statistically significant differences between groups were </w:t>
      </w:r>
      <w:r w:rsidR="005D2313" w:rsidRPr="00C04E8F">
        <w:rPr>
          <w:rFonts w:ascii="Calibri" w:hAnsi="Calibri" w:cs="Calibri"/>
          <w:color w:val="000000" w:themeColor="text1"/>
        </w:rPr>
        <w:t>found in 3 trials. Between group differences ranged from 3.9 to 14.8 CCI® points</w:t>
      </w:r>
      <w:r w:rsidRPr="00C04E8F">
        <w:rPr>
          <w:rFonts w:ascii="Calibri" w:hAnsi="Calibri" w:cs="Calibri"/>
          <w:color w:val="000000" w:themeColor="text1"/>
        </w:rPr>
        <w:t xml:space="preserve">. </w:t>
      </w:r>
      <w:r w:rsidR="005D2313" w:rsidRPr="00C04E8F">
        <w:rPr>
          <w:rFonts w:ascii="Calibri" w:hAnsi="Calibri" w:cs="Calibri"/>
          <w:color w:val="000000" w:themeColor="text1"/>
        </w:rPr>
        <w:t>13 trials based their s</w:t>
      </w:r>
      <w:r w:rsidRPr="00C04E8F">
        <w:rPr>
          <w:rFonts w:ascii="Calibri" w:hAnsi="Calibri" w:cs="Calibri"/>
          <w:color w:val="000000" w:themeColor="text1"/>
        </w:rPr>
        <w:t>ample size calculations on the CCI®</w:t>
      </w:r>
      <w:r w:rsidR="005D2313" w:rsidRPr="00C04E8F">
        <w:rPr>
          <w:rFonts w:ascii="Calibri" w:hAnsi="Calibri" w:cs="Calibri"/>
          <w:color w:val="000000" w:themeColor="text1"/>
        </w:rPr>
        <w:t>.</w:t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480C79E9" w:rsidR="005D2313" w:rsidRPr="00C04E8F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>This systematic overview demonstrates that the CCI® is firmly established as an outcome measure in surgical RCTs and increasingly embedded in trial methodology. Importantly, where pre-trial documentation was available, concordance between registered protocols and corresponding publications was remarkably high</w:t>
      </w:r>
      <w:r w:rsidR="000F2CF8"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>an encouraging finding that reflects a growing culture of transparency and methodological rigor in surgical research.</w:t>
      </w:r>
    </w:p>
    <w:p w14:paraId="3710FC4E" w14:textId="21ADC6AC" w:rsidR="005D2313" w:rsidRPr="00C04E8F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lastRenderedPageBreak/>
        <w:t xml:space="preserve">A remaining gap concerns </w:t>
      </w:r>
      <w:r w:rsidRPr="00C04E8F">
        <w:rPr>
          <w:rFonts w:ascii="Calibri" w:hAnsi="Calibri" w:cs="Calibri"/>
        </w:rPr>
        <w:t>clinical interpretability</w:t>
      </w:r>
      <w:r w:rsidRPr="005D2313">
        <w:rPr>
          <w:rFonts w:ascii="Calibri" w:hAnsi="Calibri" w:cs="Calibri"/>
        </w:rPr>
        <w:t xml:space="preserve">. Although three primary-endpoint trials reported statistically significant between-group differences, the </w:t>
      </w:r>
      <w:r w:rsidRPr="00C04E8F">
        <w:rPr>
          <w:rFonts w:ascii="Calibri" w:hAnsi="Calibri" w:cs="Calibri"/>
        </w:rPr>
        <w:t>magnitude</w:t>
      </w:r>
      <w:r w:rsidRPr="005D2313">
        <w:rPr>
          <w:rFonts w:ascii="Calibri" w:hAnsi="Calibri" w:cs="Calibri"/>
        </w:rPr>
        <w:t xml:space="preserve"> of effects ranged from 3.9 to 14.8 CCI® points and </w:t>
      </w:r>
      <w:r w:rsidRPr="00C04E8F">
        <w:rPr>
          <w:rFonts w:ascii="Calibri" w:hAnsi="Calibri" w:cs="Calibri"/>
        </w:rPr>
        <w:t>rarely engaged with the 12-point MID</w:t>
      </w:r>
      <w:r w:rsidRPr="005D2313">
        <w:rPr>
          <w:rFonts w:ascii="Calibri" w:hAnsi="Calibri" w:cs="Calibri"/>
        </w:rPr>
        <w:t xml:space="preserve"> explicitly</w:t>
      </w:r>
      <w:r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 xml:space="preserve">meaning that statistical differences were not consistently linked to </w:t>
      </w:r>
      <w:r w:rsidRPr="00C04E8F">
        <w:rPr>
          <w:rFonts w:ascii="Calibri" w:hAnsi="Calibri" w:cs="Calibri"/>
        </w:rPr>
        <w:t>clinically meaningful change</w:t>
      </w:r>
      <w:r w:rsidRPr="005D2313">
        <w:rPr>
          <w:rFonts w:ascii="Calibri" w:hAnsi="Calibri" w:cs="Calibri"/>
        </w:rPr>
        <w:t>. Future protocols should predefine how the MID informs design assumptions and the interpretation of results.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45012E03" w14:textId="22AB84F6" w:rsidR="00E53D2C" w:rsidRPr="00C04E8F" w:rsidRDefault="005D2313" w:rsidP="005D2313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established in surgical RCTs, with </w:t>
      </w:r>
      <w:r w:rsidRPr="00C04E8F">
        <w:rPr>
          <w:rFonts w:ascii="Calibri" w:hAnsi="Calibri" w:cs="Calibri"/>
        </w:rPr>
        <w:t>reassuring protocol–publication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fully leverage its value, trials should extend this rigor beyond the primary-endpoint subset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</w:p>
    <w:sectPr w:rsidR="00E53D2C" w:rsidRPr="00C04E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30067"/>
    <w:rsid w:val="0003527F"/>
    <w:rsid w:val="0006139C"/>
    <w:rsid w:val="0006265B"/>
    <w:rsid w:val="00070B1D"/>
    <w:rsid w:val="00090360"/>
    <w:rsid w:val="000953A6"/>
    <w:rsid w:val="00097855"/>
    <w:rsid w:val="000D321A"/>
    <w:rsid w:val="000E21D2"/>
    <w:rsid w:val="000E240F"/>
    <w:rsid w:val="000F2CF8"/>
    <w:rsid w:val="000F66FA"/>
    <w:rsid w:val="00120B60"/>
    <w:rsid w:val="0015142E"/>
    <w:rsid w:val="00167844"/>
    <w:rsid w:val="0018618F"/>
    <w:rsid w:val="001D6A53"/>
    <w:rsid w:val="001E6CD4"/>
    <w:rsid w:val="001F68EF"/>
    <w:rsid w:val="00223769"/>
    <w:rsid w:val="002239BB"/>
    <w:rsid w:val="00226B94"/>
    <w:rsid w:val="00270439"/>
    <w:rsid w:val="00284156"/>
    <w:rsid w:val="002A0DDB"/>
    <w:rsid w:val="002A25DF"/>
    <w:rsid w:val="002B3B49"/>
    <w:rsid w:val="002C1064"/>
    <w:rsid w:val="00301AE3"/>
    <w:rsid w:val="00314AC0"/>
    <w:rsid w:val="0037403F"/>
    <w:rsid w:val="00385B81"/>
    <w:rsid w:val="00395FC8"/>
    <w:rsid w:val="003A242F"/>
    <w:rsid w:val="003B7943"/>
    <w:rsid w:val="003D6348"/>
    <w:rsid w:val="004062C0"/>
    <w:rsid w:val="00416E69"/>
    <w:rsid w:val="004760AC"/>
    <w:rsid w:val="00485EE9"/>
    <w:rsid w:val="004D2539"/>
    <w:rsid w:val="004E6BC9"/>
    <w:rsid w:val="00510C46"/>
    <w:rsid w:val="0053120D"/>
    <w:rsid w:val="00535A24"/>
    <w:rsid w:val="00545285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870EB"/>
    <w:rsid w:val="009F4126"/>
    <w:rsid w:val="00A047B3"/>
    <w:rsid w:val="00A17F3A"/>
    <w:rsid w:val="00A21BAC"/>
    <w:rsid w:val="00A21DC6"/>
    <w:rsid w:val="00A43CAB"/>
    <w:rsid w:val="00AB5731"/>
    <w:rsid w:val="00AD333C"/>
    <w:rsid w:val="00AD5EA4"/>
    <w:rsid w:val="00AD782E"/>
    <w:rsid w:val="00AF0D29"/>
    <w:rsid w:val="00B0759F"/>
    <w:rsid w:val="00B35645"/>
    <w:rsid w:val="00B4520F"/>
    <w:rsid w:val="00B5111A"/>
    <w:rsid w:val="00B62F21"/>
    <w:rsid w:val="00B7010B"/>
    <w:rsid w:val="00B81A9A"/>
    <w:rsid w:val="00B8768C"/>
    <w:rsid w:val="00B9628A"/>
    <w:rsid w:val="00BD6375"/>
    <w:rsid w:val="00C04E8F"/>
    <w:rsid w:val="00CD555F"/>
    <w:rsid w:val="00CD6EDC"/>
    <w:rsid w:val="00CD7C3E"/>
    <w:rsid w:val="00D14F2C"/>
    <w:rsid w:val="00D25F73"/>
    <w:rsid w:val="00D331D0"/>
    <w:rsid w:val="00D66E39"/>
    <w:rsid w:val="00D82151"/>
    <w:rsid w:val="00DD1D21"/>
    <w:rsid w:val="00E0311A"/>
    <w:rsid w:val="00E3182D"/>
    <w:rsid w:val="00E529A4"/>
    <w:rsid w:val="00E53D2C"/>
    <w:rsid w:val="00E702BE"/>
    <w:rsid w:val="00E82283"/>
    <w:rsid w:val="00EA071D"/>
    <w:rsid w:val="00EA48F6"/>
    <w:rsid w:val="00EC6227"/>
    <w:rsid w:val="00F02BC4"/>
    <w:rsid w:val="00F037E2"/>
    <w:rsid w:val="00F35634"/>
    <w:rsid w:val="00FB1C60"/>
    <w:rsid w:val="00FB65C1"/>
    <w:rsid w:val="00FC7739"/>
    <w:rsid w:val="00FD45E8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7C37"/>
    <w:pPr>
      <w:ind w:firstLine="709"/>
    </w:pPr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689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16</cp:revision>
  <dcterms:created xsi:type="dcterms:W3CDTF">2025-10-12T21:56:00Z</dcterms:created>
  <dcterms:modified xsi:type="dcterms:W3CDTF">2025-10-13T11:38:00Z</dcterms:modified>
</cp:coreProperties>
</file>