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Concordance Analysis Between Pre-trial Documentation and Published Trials for CCI usage for sample size calculation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35"/>
        <w:gridCol w:w="1915"/>
        <w:gridCol w:w="1915"/>
      </w:tblGrid>
      <w:tr>
        <w:trPr>
          <w:trHeight w:val="73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usage for sample size calculation in published trial</w:t>
            </w:r>
          </w:p>
        </w:tc>
      </w:tr>
      <w:tr>
        <w:trPr>
          <w:trHeight w:val="735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Not used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usage for sample size calculation in pre-trial documentation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(10/10)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(0/35)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Not used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100.0% (35/35)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2025-10-15T10:43:14Z</dcterms:modified>
  <cp:category/>
</cp:coreProperties>
</file>